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val="0"/>
          <w:bCs w:val="0"/>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宋体" w:hAnsi="宋体" w:eastAsia="宋体" w:cs="宋体"/>
          <w:b w:val="0"/>
          <w:bCs w:val="0"/>
          <w:i w:val="0"/>
          <w:iCs w:val="0"/>
          <w:caps w:val="0"/>
          <w:color w:val="333333"/>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Style w:val="5"/>
          <w:rFonts w:hint="eastAsia" w:ascii="方正小标宋_GBK" w:hAnsi="方正小标宋_GBK" w:eastAsia="方正小标宋_GBK" w:cs="方正小标宋_GBK"/>
          <w:b w:val="0"/>
          <w:bCs/>
          <w:kern w:val="2"/>
          <w:sz w:val="44"/>
          <w:szCs w:val="44"/>
          <w:shd w:val="clear" w:color="auto" w:fill="FFFFFF"/>
          <w:lang w:val="en-US" w:eastAsia="zh-CN" w:bidi="ar-SA"/>
        </w:rPr>
      </w:pPr>
      <w:r>
        <w:rPr>
          <w:rStyle w:val="5"/>
          <w:rFonts w:hint="eastAsia" w:ascii="方正小标宋_GBK" w:hAnsi="方正小标宋_GBK" w:eastAsia="方正小标宋_GBK" w:cs="方正小标宋_GBK"/>
          <w:b w:val="0"/>
          <w:bCs/>
          <w:kern w:val="2"/>
          <w:sz w:val="44"/>
          <w:szCs w:val="44"/>
          <w:shd w:val="clear" w:color="auto" w:fill="FFFFFF"/>
          <w:lang w:val="en-US" w:eastAsia="zh-CN" w:bidi="ar-SA"/>
        </w:rPr>
        <w:t>关于举办全市中小学实验室管理与实验技能培训班的通知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淮教备函〔2019〕7号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各县区教育主管部门，各市直中小学校：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教育部和安徽省教育厅有关文件要求以及年初全市中小学安全工作大检查的情况,为有效促进中小学实验室建设和实验教学的同步开展，加强并规范中小学实验室危险化学品和易制毒化学品的管理，进一步巩固各学校实验教学成果，充分发挥已配器材在推进素质教育、创新教育中的作用，经研究决定举办“全市中小学实验室管理与实验技能培训班”，现将具体事宜通知如下：</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一、主要培训内容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中小学实验室的日常管理；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实验室危险化学品和易制毒化学品的管理；</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2019年安徽省实验教学说课部分一等奖、二等奖获得者现场说课。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二、参加人员及名额分配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市直相关学校每校可选派实验室管理人员和实验教师各1名，各县区推荐实验室管理人员和实验教师参加培训(寿县40人，凤台县20人，潘集区20人，田家庵区20人，谢家集区10人，大通区10人，八公山区10人，毛集实验区10人、高新区社会事业局5人、经开区社会发展局5人)。届时，请各县区装备中心主任带队参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三、时间地点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培训时间：2019年10月22日；</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上课时间：上午8:00--11:30，下午2:00--5:00；</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培训地点：淮南一中报告厅。</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四、培训证书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参加培训的学员在完成培训班规定的学时后，市教育局将颁发《全市中小学实验室管理与实验技能培训证书》。</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五、有关费用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1、免收培训费；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2、提供免费午餐一份；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3、差旅及住宿费用回单位报销。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六、报名办法</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请报名参加培训的学员填写“报名表（见附件）</w:t>
      </w:r>
      <w:bookmarkStart w:id="0" w:name="_GoBack"/>
      <w:bookmarkEnd w:id="0"/>
      <w:r>
        <w:rPr>
          <w:rFonts w:hint="eastAsia" w:ascii="Times New Roman" w:hAnsi="Times New Roman" w:eastAsia="方正仿宋_GBK" w:cs="Times New Roman"/>
          <w:sz w:val="32"/>
          <w:szCs w:val="32"/>
          <w:lang w:val="en-US" w:eastAsia="zh-CN"/>
        </w:rPr>
        <w:t>”，于10月20日前传至576177310@qq.com。</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联系人：李春     联系电话：0554—6641394</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E—mail：</w:t>
      </w:r>
      <w:r>
        <w:rPr>
          <w:rFonts w:hint="eastAsia" w:ascii="Times New Roman" w:hAnsi="Times New Roman" w:eastAsia="方正仿宋_GBK" w:cs="Times New Roman"/>
          <w:sz w:val="32"/>
          <w:szCs w:val="32"/>
          <w:lang w:val="en-US" w:eastAsia="zh-CN"/>
        </w:rPr>
        <w:fldChar w:fldCharType="begin"/>
      </w:r>
      <w:r>
        <w:rPr>
          <w:rFonts w:hint="eastAsia" w:ascii="Times New Roman" w:hAnsi="Times New Roman" w:eastAsia="方正仿宋_GBK" w:cs="Times New Roman"/>
          <w:sz w:val="32"/>
          <w:szCs w:val="32"/>
          <w:lang w:val="en-US" w:eastAsia="zh-CN"/>
        </w:rPr>
        <w:instrText xml:space="preserve"> HYPERLINK "mailto:57617310@qq.com" </w:instrText>
      </w:r>
      <w:r>
        <w:rPr>
          <w:rFonts w:hint="eastAsia" w:ascii="Times New Roman" w:hAnsi="Times New Roman" w:eastAsia="方正仿宋_GBK" w:cs="Times New Roman"/>
          <w:sz w:val="32"/>
          <w:szCs w:val="32"/>
          <w:lang w:val="en-US" w:eastAsia="zh-CN"/>
        </w:rPr>
        <w:fldChar w:fldCharType="separate"/>
      </w:r>
      <w:r>
        <w:rPr>
          <w:rFonts w:hint="eastAsia" w:ascii="Times New Roman" w:hAnsi="Times New Roman" w:eastAsia="方正仿宋_GBK" w:cs="Times New Roman"/>
          <w:sz w:val="32"/>
          <w:szCs w:val="32"/>
          <w:lang w:val="en-US" w:eastAsia="zh-CN"/>
        </w:rPr>
        <w:t>57617310@qq.com</w:t>
      </w:r>
      <w:r>
        <w:rPr>
          <w:rFonts w:hint="eastAsia" w:ascii="Times New Roman" w:hAnsi="Times New Roman" w:eastAsia="方正仿宋_GBK"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附：全市中小学实验室管理与实验技能培训班报名表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420" w:rightChars="200"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淮南市教育体育局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420" w:rightChars="200" w:firstLine="640" w:firstLine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2019年9月16日</w:t>
      </w:r>
    </w:p>
    <w:p>
      <w:pP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kern w:val="0"/>
          <w:sz w:val="32"/>
          <w:szCs w:val="32"/>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方正小标宋_GBK" w:hAnsi="方正小标宋_GBK" w:eastAsia="方正小标宋_GBK" w:cs="方正小标宋_GBK"/>
          <w:b w:val="0"/>
          <w:kern w:val="2"/>
          <w:sz w:val="44"/>
          <w:szCs w:val="44"/>
          <w:shd w:val="clear" w:color="auto" w:fill="FFFFFF"/>
          <w:lang w:val="en-US" w:eastAsia="zh-CN" w:bidi="ar-SA"/>
        </w:rPr>
      </w:pPr>
      <w:r>
        <w:rPr>
          <w:rStyle w:val="5"/>
          <w:rFonts w:hint="eastAsia" w:ascii="方正小标宋_GBK" w:hAnsi="方正小标宋_GBK" w:eastAsia="方正小标宋_GBK" w:cs="方正小标宋_GBK"/>
          <w:b w:val="0"/>
          <w:kern w:val="2"/>
          <w:sz w:val="44"/>
          <w:szCs w:val="44"/>
          <w:shd w:val="clear" w:color="auto" w:fill="FFFFFF"/>
          <w:lang w:val="en-US" w:eastAsia="zh-CN" w:bidi="ar-SA"/>
        </w:rPr>
        <w:t>全市中小学实验室管理与实验技能培训班报名表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74"/>
        <w:gridCol w:w="1691"/>
        <w:gridCol w:w="1305"/>
        <w:gridCol w:w="705"/>
        <w:gridCol w:w="705"/>
        <w:gridCol w:w="114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序号</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单位</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姓 名</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性别</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学历</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职 称</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联系电话/手机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874"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691"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3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705"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14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c>
          <w:tcPr>
            <w:tcW w:w="1980" w:type="dxa"/>
            <w:tcBorders>
              <w:top w:val="single" w:color="auto" w:sz="8" w:space="0"/>
              <w:left w:val="single" w:color="auto" w:sz="8" w:space="0"/>
              <w:bottom w:val="single" w:color="auto" w:sz="8" w:space="0"/>
              <w:right w:val="single" w:color="auto" w:sz="8" w:space="0"/>
            </w:tcBorders>
            <w:shd w:val="clear"/>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方正黑体_GBK" w:hAnsi="方正黑体_GBK" w:eastAsia="方正黑体_GBK" w:cs="方正黑体_GBK"/>
              </w:rPr>
            </w:pPr>
            <w:r>
              <w:rPr>
                <w:rFonts w:hint="eastAsia" w:ascii="方正黑体_GBK" w:hAnsi="方正黑体_GBK" w:eastAsia="方正黑体_GBK" w:cs="方正黑体_GBK"/>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999999"/>
          <w:spacing w:val="0"/>
          <w:sz w:val="21"/>
          <w:szCs w:val="21"/>
          <w:shd w:val="clear" w:fill="FFFFFF"/>
        </w:rPr>
      </w:pP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formatting="1"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7E2C345C"/>
    <w:rsid w:val="7E2C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uiPriority w:val="0"/>
    <w:rPr>
      <w:color w:val="0000FF"/>
      <w:u w:val="single"/>
    </w:rPr>
  </w:style>
  <w:style w:type="paragraph" w:customStyle="1" w:styleId="7">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2024-04-29T07:59:00Z</dcterms:created>
  <dc:creator>遇健不散</dc:creator>
  <cp:lastModifiedBy>遇健不散</cp:lastModifiedBy>
  <dcterms:modified xsi:type="dcterms:W3CDTF">2024-04-29T08:05:48Z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CD2B71F0E9EE452599A69A1136894319_11</vt:lpwstr>
  </property>
</Properties>
</file>