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9"/>
          <w:rFonts w:hint="eastAsia" w:ascii="方正小标宋_GBK" w:hAnsi="方正小标宋_GBK" w:eastAsia="方正小标宋_GBK" w:cs="方正小标宋_GBK"/>
          <w:b w:val="0"/>
          <w:color w:val="auto"/>
          <w:kern w:val="2"/>
          <w:sz w:val="44"/>
          <w:szCs w:val="44"/>
          <w:shd w:val="clear" w:color="auto" w:fill="FFFFFF"/>
          <w:lang w:val="en-US" w:eastAsia="zh-CN" w:bidi="ar-SA"/>
        </w:rPr>
      </w:pPr>
    </w:p>
    <w:p>
      <w:pPr>
        <w:pStyle w:val="10"/>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9"/>
          <w:rFonts w:hint="eastAsia" w:ascii="方正小标宋_GBK" w:hAnsi="方正小标宋_GBK" w:eastAsia="方正小标宋_GBK" w:cs="方正小标宋_GBK"/>
          <w:b w:val="0"/>
          <w:color w:val="auto"/>
          <w:kern w:val="2"/>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淮南市教育体育局关于印发淮南市消除普通高中大班额工作专项规划（2019-2023年）的通知</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淮教体〔2019〕45号</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各县区教育主管部门，各普通高中学校：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现将《淮南市消除普通高中大班额工作专项规划（2019-2023年）》予以印发，请认真遵照执行。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420" w:rightChars="200" w:firstLine="640" w:firstLineChars="200"/>
        <w:jc w:val="righ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淮南市教育体育局</w:t>
      </w: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righ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2019年11月20日</w:t>
      </w:r>
      <w:r>
        <w:rPr>
          <w:rFonts w:hint="eastAsia" w:ascii="Times New Roman" w:hAnsi="Times New Roman" w:eastAsia="方正仿宋_GBK" w:cs="Times New Roman"/>
          <w:color w:val="auto"/>
          <w:sz w:val="32"/>
          <w:szCs w:val="32"/>
          <w:lang w:val="en-US" w:eastAsia="zh-CN"/>
        </w:rPr>
        <w:t xml:space="preserve">  </w:t>
      </w:r>
    </w:p>
    <w:p>
      <w:pP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方正小标宋_GBK" w:hAnsi="方正小标宋_GBK" w:eastAsia="方正小标宋_GBK" w:cs="方正小标宋_GBK"/>
          <w:kern w:val="0"/>
          <w:sz w:val="44"/>
          <w:szCs w:val="44"/>
          <w:shd w:val="clear" w:color="auto" w:fill="FFFFFF"/>
          <w:lang w:val="en-US" w:eastAsia="zh-CN" w:bidi="ar-SA"/>
        </w:rPr>
      </w:pPr>
      <w:r>
        <w:rPr>
          <w:rFonts w:hint="default" w:ascii="方正小标宋_GBK" w:hAnsi="方正小标宋_GBK" w:eastAsia="方正小标宋_GBK" w:cs="方正小标宋_GBK"/>
          <w:kern w:val="0"/>
          <w:sz w:val="44"/>
          <w:szCs w:val="44"/>
          <w:shd w:val="clear" w:color="auto" w:fill="FFFFFF"/>
          <w:lang w:val="en-US" w:eastAsia="zh-CN" w:bidi="ar-SA"/>
        </w:rPr>
        <w:t>淮南市消除普通高中大班额工作专项规划</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方正小标宋_GBK" w:hAnsi="方正小标宋_GBK" w:eastAsia="方正小标宋_GBK" w:cs="方正小标宋_GBK"/>
          <w:kern w:val="0"/>
          <w:sz w:val="44"/>
          <w:szCs w:val="44"/>
          <w:shd w:val="clear" w:color="auto" w:fill="FFFFFF"/>
          <w:lang w:val="en-US" w:eastAsia="zh-CN" w:bidi="ar-SA"/>
        </w:rPr>
      </w:pPr>
      <w:r>
        <w:rPr>
          <w:rFonts w:hint="eastAsia" w:ascii="方正小标宋_GBK" w:hAnsi="方正小标宋_GBK" w:eastAsia="方正小标宋_GBK" w:cs="方正小标宋_GBK"/>
          <w:kern w:val="0"/>
          <w:sz w:val="44"/>
          <w:szCs w:val="44"/>
          <w:shd w:val="clear" w:color="auto" w:fill="FFFFFF"/>
          <w:lang w:val="en-US" w:eastAsia="zh-CN" w:bidi="ar-SA"/>
        </w:rPr>
        <w:t>（</w:t>
      </w:r>
      <w:r>
        <w:rPr>
          <w:rFonts w:hint="default" w:ascii="Times New Roman" w:hAnsi="Times New Roman" w:eastAsia="方正小标宋_GBK" w:cs="Times New Roman"/>
          <w:kern w:val="0"/>
          <w:sz w:val="44"/>
          <w:szCs w:val="44"/>
          <w:shd w:val="clear" w:color="auto" w:fill="FFFFFF"/>
          <w:lang w:val="en-US" w:eastAsia="zh-CN" w:bidi="ar-SA"/>
        </w:rPr>
        <w:t>2019-2023</w:t>
      </w:r>
      <w:r>
        <w:rPr>
          <w:rFonts w:hint="default" w:ascii="方正小标宋_GBK" w:hAnsi="方正小标宋_GBK" w:eastAsia="方正小标宋_GBK" w:cs="方正小标宋_GBK"/>
          <w:kern w:val="0"/>
          <w:sz w:val="44"/>
          <w:szCs w:val="44"/>
          <w:shd w:val="clear" w:color="auto" w:fill="FFFFFF"/>
          <w:lang w:val="en-US" w:eastAsia="zh-CN" w:bidi="ar-SA"/>
        </w:rPr>
        <w:t>年）</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深入贯彻国务院办公厅《关于新时代推进普通高中育人方式改革的指导意见》（国办发〔2019〕29号）、教育部《关于做好消除普通高中大班额专项规划有关工作的通知》（教基司函〔2019〕56号）《安徽省教育厅关于切实做好消除普通高中大班额专项规划有关工作的通知》（皖教秘基〔2019〕91号）精神，确保完成省教育厅确定的消除大班额的目标任务，加快推动我市高中教育高质量发展，制订本规划。</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方正黑体_GBK" w:hAnsi="方正黑体_GBK" w:eastAsia="方正黑体_GBK" w:cs="方正黑体_GBK"/>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一、基本情况</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淮南市现有普通高中学校44所，目前招生学校29所，其中民办普通高中学校4所，在校学生50884人。随着我市城镇化进程的不断加快，农村人口大量向城镇转移，城镇人口快速增长，城镇中小学招生压力较大，少数学校存在大班额现象。目前，全市普通高中学校共有66人以上超大班额0个，超大班额比例为0%</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56人及以上大班额40个，大班额比例为3.9%。具体分布为：城区66人以上超大班额0个，超大班额比例为0%</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56人以上大班额20个，大班额比例为4.02%。镇区66人以上超大班额0个，超大班额比例为0%</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56人以上大班额20个，大班额比例为3.78%。乡村66人以上超大班额0个，56人以上大班额0个，大班额比例为0%。</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方正黑体_GBK" w:hAnsi="方正黑体_GBK" w:eastAsia="方正黑体_GBK" w:cs="方正黑体_GBK"/>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二、目标任务</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sz w:val="32"/>
          <w:szCs w:val="32"/>
          <w:lang w:val="en-US" w:eastAsia="zh-CN"/>
        </w:rPr>
        <w:t>根据《安徽省教育厅关于切实做好消除普通高中大班额专项规划有关工作的通知》（皖教秘基〔2019〕91号）要求，结合我市实际情况，自2020年秋季学期开始，逐步消除大班额、超大班</w:t>
      </w:r>
      <w:r>
        <w:rPr>
          <w:rFonts w:hint="default" w:ascii="Times New Roman" w:hAnsi="Times New Roman" w:eastAsia="方正仿宋_GBK" w:cs="Times New Roman"/>
          <w:b w:val="0"/>
          <w:bCs w:val="0"/>
          <w:sz w:val="32"/>
          <w:szCs w:val="32"/>
          <w:lang w:val="en-US" w:eastAsia="zh-CN"/>
        </w:rPr>
        <w:t>额班级。具体要求如下：</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一）2020年，2020年秋季学期开始，起始年级基本达到标准班额要求，并逐年予以巩固保持。66人以上超大班额0个，超大班额比例为0%</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56人以上大班额19个，大班额比例控制在3.5%以内。</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二）2021年，到2021年年底前，起始年级基本达到标准班额要求，并逐年予以巩固保持。全市所有高中全部消除66人及以上超大班额，之后不得再存在超大班额，大班额比例控制在2.5%以内。</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三）2022年，到2022年底，起始年级基本达到标准班额要求，并逐年予以巩固保持。全市56人及以上大班额控制在1.5%以内，之后全市大班额比例要逐年降低，直至全部消除。</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四）2023年，起始年级基本达到标准班额要求，并逐年予以巩固保持。基本消除56人及以上</w:t>
      </w:r>
      <w:r>
        <w:rPr>
          <w:rFonts w:hint="default" w:ascii="Times New Roman" w:hAnsi="Times New Roman" w:eastAsia="方正仿宋_GBK" w:cs="Times New Roman"/>
          <w:sz w:val="32"/>
          <w:szCs w:val="32"/>
          <w:lang w:val="en-US" w:eastAsia="zh-CN"/>
        </w:rPr>
        <w:t>大班额。</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方正黑体_GBK" w:hAnsi="方正黑体_GBK" w:eastAsia="方正黑体_GBK" w:cs="方正黑体_GBK"/>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三、工作措施</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kern w:val="0"/>
          <w:sz w:val="32"/>
          <w:szCs w:val="32"/>
          <w:shd w:val="clear" w:color="auto" w:fill="FFFFFF"/>
          <w:lang w:val="en-US" w:eastAsia="zh-CN" w:bidi="ar-SA"/>
        </w:rPr>
        <w:t>（</w:t>
      </w:r>
      <w:r>
        <w:rPr>
          <w:rFonts w:hint="default" w:ascii="方正楷体_GBK" w:hAnsi="方正楷体_GBK" w:eastAsia="方正楷体_GBK" w:cs="方正楷体_GBK"/>
          <w:kern w:val="0"/>
          <w:sz w:val="32"/>
          <w:szCs w:val="32"/>
          <w:shd w:val="clear" w:color="auto" w:fill="FFFFFF"/>
          <w:lang w:val="en-US" w:eastAsia="zh-CN" w:bidi="ar-SA"/>
        </w:rPr>
        <w:t>一）调整优化学校布局建设规划，加快推进高中阶段教育普及攻坚计划。</w:t>
      </w:r>
      <w:r>
        <w:rPr>
          <w:rFonts w:hint="default" w:ascii="Times New Roman" w:hAnsi="Times New Roman" w:eastAsia="方正仿宋_GBK" w:cs="Times New Roman"/>
          <w:sz w:val="32"/>
          <w:szCs w:val="32"/>
          <w:lang w:val="en-US" w:eastAsia="zh-CN"/>
        </w:rPr>
        <w:t>落实《淮南市中小学幼儿园规划建设条例》《淮南市城市中小学布点规划（2014-2020年）》,依据推进新型城镇化发展要求，按照</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高中阶段学校向城区集中，办好必要的乡镇高中</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的原则，统筹考虑现有教育资源状况、地理环境、交通条件、学校服务半径、建设标准和教学保障能力等因素，调整完善城镇学校布局建设规划。继续做好《关于印发淮南市高中阶段教育普及攻坚计划（2017-2020年）实施办法的通知》（教基〔2018〕13号）的贯彻落实，继续选聘名校领导，充实到薄弱学校的领导岗位和管理一线，在加强教育管理、深化教学改革、推进学校各方面建设等方面发挥积极作用。</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kern w:val="0"/>
          <w:sz w:val="32"/>
          <w:szCs w:val="32"/>
          <w:shd w:val="clear" w:color="auto" w:fill="FFFFFF"/>
          <w:lang w:val="en-US" w:eastAsia="zh-CN" w:bidi="ar-SA"/>
        </w:rPr>
        <w:t>（</w:t>
      </w:r>
      <w:r>
        <w:rPr>
          <w:rFonts w:hint="default" w:ascii="方正楷体_GBK" w:hAnsi="方正楷体_GBK" w:eastAsia="方正楷体_GBK" w:cs="方正楷体_GBK"/>
          <w:kern w:val="0"/>
          <w:sz w:val="32"/>
          <w:szCs w:val="32"/>
          <w:shd w:val="clear" w:color="auto" w:fill="FFFFFF"/>
          <w:lang w:val="en-US" w:eastAsia="zh-CN" w:bidi="ar-SA"/>
        </w:rPr>
        <w:t>二）加快城镇学校建设。</w:t>
      </w:r>
      <w:r>
        <w:rPr>
          <w:rFonts w:hint="default" w:ascii="Times New Roman" w:hAnsi="Times New Roman" w:eastAsia="方正仿宋_GBK" w:cs="Times New Roman"/>
          <w:sz w:val="32"/>
          <w:szCs w:val="32"/>
          <w:lang w:val="en-US" w:eastAsia="zh-CN"/>
        </w:rPr>
        <w:t>我市大班额学校主要集中在城镇地区，随着城镇化进程加快，城镇现有的中小学难以满足群众日益增长的就学需求，需要加快城市新建学校建设步伐。要大力推进实施新城区优质教育资源覆盖面工程，到2020年改扩建普通高中18所，到2023年全市根据需要改扩建部分中小学，以满足需要，确保不出现新的大班额班级。</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kern w:val="0"/>
          <w:sz w:val="32"/>
          <w:szCs w:val="32"/>
          <w:shd w:val="clear" w:color="auto" w:fill="FFFFFF"/>
          <w:lang w:val="en-US" w:eastAsia="zh-CN" w:bidi="ar-SA"/>
        </w:rPr>
        <w:t>（</w:t>
      </w:r>
      <w:r>
        <w:rPr>
          <w:rFonts w:hint="default" w:ascii="方正楷体_GBK" w:hAnsi="方正楷体_GBK" w:eastAsia="方正楷体_GBK" w:cs="方正楷体_GBK"/>
          <w:kern w:val="0"/>
          <w:sz w:val="32"/>
          <w:szCs w:val="32"/>
          <w:shd w:val="clear" w:color="auto" w:fill="FFFFFF"/>
          <w:lang w:val="en-US" w:eastAsia="zh-CN" w:bidi="ar-SA"/>
        </w:rPr>
        <w:t>三）进一步规范普通高中招生行为。</w:t>
      </w:r>
      <w:r>
        <w:rPr>
          <w:rFonts w:hint="default" w:ascii="Times New Roman" w:hAnsi="Times New Roman" w:eastAsia="方正仿宋_GBK" w:cs="Times New Roman"/>
          <w:sz w:val="32"/>
          <w:szCs w:val="32"/>
          <w:lang w:val="en-US" w:eastAsia="zh-CN"/>
        </w:rPr>
        <w:t>严格执行招生文件，合理确定招生计划，做到公开、公平、公正。对起始年级所有学生进行均衡编班，降低起始年级的班额人数，通过扩大班级数、减小班额，逐年减少大班额班级数。对任课教师予以均衡搭配，随机确定教学班级。严禁招收无学籍学生就读，严格执行学生转学的有关规定，严禁同城借读行为。</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kern w:val="0"/>
          <w:sz w:val="32"/>
          <w:szCs w:val="32"/>
          <w:shd w:val="clear" w:color="auto" w:fill="FFFFFF"/>
          <w:lang w:val="en-US" w:eastAsia="zh-CN" w:bidi="ar-SA"/>
        </w:rPr>
        <w:t>（</w:t>
      </w:r>
      <w:r>
        <w:rPr>
          <w:rFonts w:hint="default" w:ascii="方正楷体_GBK" w:hAnsi="方正楷体_GBK" w:eastAsia="方正楷体_GBK" w:cs="方正楷体_GBK"/>
          <w:kern w:val="0"/>
          <w:sz w:val="32"/>
          <w:szCs w:val="32"/>
          <w:shd w:val="clear" w:color="auto" w:fill="FFFFFF"/>
          <w:lang w:val="en-US" w:eastAsia="zh-CN" w:bidi="ar-SA"/>
        </w:rPr>
        <w:t>四）加强教师队伍建设。</w:t>
      </w:r>
      <w:r>
        <w:rPr>
          <w:rFonts w:hint="eastAsia" w:ascii="方正仿宋_GBK" w:hAnsi="方正仿宋_GBK" w:eastAsia="方正仿宋_GBK" w:cs="方正仿宋_GBK"/>
          <w:sz w:val="32"/>
          <w:szCs w:val="32"/>
          <w:lang w:val="en-US" w:eastAsia="zh-CN"/>
        </w:rPr>
        <w:t>认真落实好《淮南市教育系统创建文明行业活动实施意见》和《淮南市中小学教师师德八条禁令》，引导广大教职工树立正确的世界观、人生观、价值观，树立依法从教、以德育人的观念，不断加大师德师风建设力度。继续开展中小学教师教学业务竞赛、“教坛新星”“市级学科带头“骨干教师”“红烛杯十佳（优秀）教师”等评选工作，通过一系列评选活动，促进全体教师业务素质明显提高、教学水平全面提升。</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kern w:val="0"/>
          <w:sz w:val="32"/>
          <w:szCs w:val="32"/>
          <w:shd w:val="clear" w:color="auto" w:fill="FFFFFF"/>
          <w:lang w:val="en-US" w:eastAsia="zh-CN" w:bidi="ar-SA"/>
        </w:rPr>
        <w:t>四、保障措施</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kern w:val="0"/>
          <w:sz w:val="32"/>
          <w:szCs w:val="32"/>
          <w:shd w:val="clear" w:color="auto" w:fill="FFFFFF"/>
          <w:lang w:val="en-US" w:eastAsia="zh-CN" w:bidi="ar-SA"/>
        </w:rPr>
        <w:t>（一）加大投入，扩充资源改善办学条件。</w:t>
      </w:r>
      <w:r>
        <w:rPr>
          <w:rFonts w:hint="default" w:ascii="Times New Roman" w:hAnsi="Times New Roman" w:eastAsia="方正仿宋_GBK" w:cs="Times New Roman"/>
          <w:sz w:val="32"/>
          <w:szCs w:val="32"/>
          <w:lang w:val="en-US" w:eastAsia="zh-CN"/>
        </w:rPr>
        <w:t>明确办学主体责任，加大普通高中投入力度，确保规划建设资金足额及时到位。进一步完善普通高中教育经费保障机制，按标准及时拨付公办普通高中生均公用经费，保障学校基本运转经费需求。着力化解普通高中现有债务，推动普通高中轻装上阵、加快发展。继续实施淮南市高中阶段普及攻坚计划，各县区教育主管部门要在省财政奖补支持的基础上，按照属地管理的原则，加大对全市公办普通高中的投入，加快新建、改扩建一批普通高中，增加学位供给。对已建成学校配备必须的教育教学和生活设施设备，切实保障公办普通高中适应高考综合改革和新课程实施的需求。统筹考虑消除大班额等工作需求，拓宽普通高中建设资金筹措渠道，发挥合力，保障公办普通高中稳定健康发展。</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kern w:val="0"/>
          <w:sz w:val="32"/>
          <w:szCs w:val="32"/>
          <w:shd w:val="clear" w:color="auto" w:fill="FFFFFF"/>
          <w:lang w:val="en-US" w:eastAsia="zh-CN" w:bidi="ar-SA"/>
        </w:rPr>
        <w:t>（二）增补教师，满足高考改革教学需求。</w:t>
      </w:r>
      <w:r>
        <w:rPr>
          <w:rFonts w:hint="default" w:ascii="Times New Roman" w:hAnsi="Times New Roman" w:eastAsia="方正仿宋_GBK" w:cs="Times New Roman"/>
          <w:sz w:val="32"/>
          <w:szCs w:val="32"/>
          <w:lang w:val="en-US" w:eastAsia="zh-CN"/>
        </w:rPr>
        <w:t>按照城乡统一的教职工编制标准，充分考虑未来三年学生人数变化情况，以及实施高考综合改革和普通高中新课程对教师配备的实际需要，提前编制普通高中教师补充和储备计划。在现有事业编制总量内，挖掘当地编制资源优先保障教育所需等措施，盘活编制存量，优化编制结构，加强编制统筹使用。在依据国家规定标准完成教职工配备的基础上，逐步增加公办普通高中教师，满足走班教学的基本需求。把落实事业单位用人自主权和加强事业单位人事综合管理部门监督指导相结合，充分发挥教育部门和学校的主导作用，更好地满足教育教学要求。民办普通高中教师补充参照公办普通高中的标准执行。</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加快建立校际、区域间学科教师结构性余缺应对机制。积极推进“县管校聘”教师管理体制改革，整合和盘活区域内、校际间教师资源，切实解决普通高中教师学科结构性失衡问题。鼓励体育、美育、劳动教育、生涯教育等师资紧缺学科专职教师在完成本校正常教学任务的前提下，由教育主管部门统筹安排，以“走教”方式到其他师资紧缺的学校担任兼职教师。“走教”教师可在受益学校领取适当补助。</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kern w:val="0"/>
          <w:sz w:val="32"/>
          <w:szCs w:val="32"/>
          <w:shd w:val="clear" w:color="auto" w:fill="FFFFFF"/>
          <w:lang w:val="en-US" w:eastAsia="zh-CN" w:bidi="ar-SA"/>
        </w:rPr>
        <w:t>（三）提高质量，推动高中优质特色发展。</w:t>
      </w:r>
      <w:r>
        <w:rPr>
          <w:rFonts w:hint="default" w:ascii="Times New Roman" w:hAnsi="Times New Roman" w:eastAsia="方正仿宋_GBK" w:cs="Times New Roman"/>
          <w:sz w:val="32"/>
          <w:szCs w:val="32"/>
          <w:lang w:val="en-US" w:eastAsia="zh-CN"/>
        </w:rPr>
        <w:t>发展素质教育，推进普通高中育人方式改革，提高教育教学质量。按照国家普通高中新课程方案和新课程标准，开齐课程，开足课时。加强对学生课程选择、升学就业等方面的指导，有序推进选课走班。围绕课程改革的主要任务，探索不同区域和学校有效推进课程改革的实践模式，及时总结交流和推广成功经验。深入开展普通高中多样化发展特色示范校创建活动，尊重学校主体地位，激发学校首创精神，科学定位发展方向，以创新培养模式为重点，以课程建设为核心，深化教育教学改革，满足不同潜质学生的发展需求，建成一批富有特色的优质普通高中。建立区域内优质学校对口帮扶贫困地区薄弱学校机制，缩小学校之间的办学差距。</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default" w:ascii="方正黑体_GBK" w:hAnsi="方正黑体_GBK" w:eastAsia="方正黑体_GBK" w:cs="方正黑体_GBK"/>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五、保障机制</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kern w:val="0"/>
          <w:sz w:val="32"/>
          <w:szCs w:val="32"/>
          <w:shd w:val="clear" w:color="auto" w:fill="FFFFFF"/>
          <w:lang w:val="en-US" w:eastAsia="zh-CN" w:bidi="ar-SA"/>
        </w:rPr>
        <w:t>（一）落实主体责任。</w:t>
      </w:r>
      <w:r>
        <w:rPr>
          <w:rFonts w:hint="default" w:ascii="Times New Roman" w:hAnsi="Times New Roman" w:eastAsia="方正仿宋_GBK" w:cs="Times New Roman"/>
          <w:sz w:val="32"/>
          <w:szCs w:val="32"/>
          <w:lang w:val="en-US" w:eastAsia="zh-CN"/>
        </w:rPr>
        <w:t>各县区教育主管部门和各普通高中学校要负起主体责任，加大改善普通高中教育教学条件的工作力度，将改善办学条件、消除大班额列入重要议事日程，切实加强组织领导和统筹谋划，研究协调解决重大事项和突出问题，为各项目标任务顺利完成提供坚强组织保障。各级职能部门要密切配合，协同工作，形成合力。</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kern w:val="0"/>
          <w:sz w:val="32"/>
          <w:szCs w:val="32"/>
          <w:shd w:val="clear" w:color="auto" w:fill="FFFFFF"/>
          <w:lang w:val="en-US" w:eastAsia="zh-CN" w:bidi="ar-SA"/>
        </w:rPr>
        <w:t>（二）建立工作台账。</w:t>
      </w:r>
      <w:r>
        <w:rPr>
          <w:rFonts w:hint="default" w:ascii="Times New Roman" w:hAnsi="Times New Roman" w:eastAsia="方正仿宋_GBK" w:cs="Times New Roman"/>
          <w:sz w:val="32"/>
          <w:szCs w:val="32"/>
          <w:lang w:val="en-US" w:eastAsia="zh-CN"/>
        </w:rPr>
        <w:t>消除大班额专项规划落实到各个年度，明确每个年度新建、改扩建学校计划，新增学位数、教室数和教师数。建立消除普通高中大班额工作台账，实行销号管理。</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kern w:val="0"/>
          <w:sz w:val="32"/>
          <w:szCs w:val="32"/>
          <w:shd w:val="clear" w:color="auto" w:fill="FFFFFF"/>
          <w:lang w:val="en-US" w:eastAsia="zh-CN" w:bidi="ar-SA"/>
        </w:rPr>
        <w:t>（三）强化督导问责。</w:t>
      </w:r>
      <w:r>
        <w:rPr>
          <w:rFonts w:hint="default" w:ascii="Times New Roman" w:hAnsi="Times New Roman" w:eastAsia="方正仿宋_GBK" w:cs="Times New Roman"/>
          <w:sz w:val="32"/>
          <w:szCs w:val="32"/>
          <w:lang w:val="en-US" w:eastAsia="zh-CN"/>
        </w:rPr>
        <w:t>改善普通高中办学条件、消除大班额，时间紧、任务重、要求高，各县区教育主管部门及各普通高中学校要按照专项规划，进一步明确目标任务，细化工作方案，制定时间表、路线图，层层分解任务、压实责任，建立年度任务清单和定期报告、通报制度。要加强过程督导，市教体局把目标任务完成情况列为年度教育督导内容，其结果作为对县区和学校履行教育职责评价的重要参考。对重视不够、推进不力的地方和相关责任人，要严肃问责。</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kern w:val="0"/>
          <w:sz w:val="32"/>
          <w:szCs w:val="32"/>
          <w:shd w:val="clear" w:color="auto" w:fill="FFFFFF"/>
          <w:lang w:val="en-US" w:eastAsia="zh-CN" w:bidi="ar-SA"/>
        </w:rPr>
        <w:t>（四）加强宣传引导。</w:t>
      </w:r>
      <w:r>
        <w:rPr>
          <w:rFonts w:hint="default" w:ascii="Times New Roman" w:hAnsi="Times New Roman" w:eastAsia="方正仿宋_GBK" w:cs="Times New Roman"/>
          <w:sz w:val="32"/>
          <w:szCs w:val="32"/>
          <w:lang w:val="en-US" w:eastAsia="zh-CN"/>
        </w:rPr>
        <w:t>通过多种途径广泛宣传加快改善普通高中办学条件、切实解决大班额问题的重要意义，年度目标任务、工作进度、责任主体等信息要适时向社会公开，自觉接受社会监督和舆论监督，及时回应社会关切，凝聚社会共识，为做好改善普通高中办学条件、消除大班额工作营造良好氛围。</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1.淮南市分县（市、区）消除大班额专项规划年度实施计划统计表</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2.市级消除大班额专项规划年度实施计划汇总表</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default" w:ascii="Times New Roman" w:hAnsi="Times New Roman" w:eastAsia="方正仿宋_GBK" w:cs="Times New Roman"/>
          <w:sz w:val="32"/>
          <w:szCs w:val="32"/>
          <w:lang w:val="en-US" w:eastAsia="zh-CN"/>
        </w:rPr>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pPr>
      <w:r>
        <w:rPr>
          <w:rFonts w:hint="default" w:ascii="Times New Roman" w:hAnsi="Times New Roman" w:eastAsia="方正仿宋_GBK" w:cs="Times New Roman"/>
          <w:sz w:val="32"/>
          <w:szCs w:val="32"/>
          <w:lang w:val="en-US" w:eastAsia="zh-CN"/>
        </w:rPr>
        <w:t>3.淮南市分县（市、区）消除大班额规划进度</w:t>
      </w:r>
    </w:p>
    <w:tbl>
      <w:tblPr>
        <w:tblStyle w:val="7"/>
        <w:tblW w:w="14340" w:type="dxa"/>
        <w:jc w:val="center"/>
        <w:tblLayout w:type="fixed"/>
        <w:tblCellMar>
          <w:top w:w="0" w:type="dxa"/>
          <w:left w:w="0" w:type="dxa"/>
          <w:bottom w:w="0" w:type="dxa"/>
          <w:right w:w="0" w:type="dxa"/>
        </w:tblCellMar>
      </w:tblPr>
      <w:tblGrid>
        <w:gridCol w:w="559"/>
        <w:gridCol w:w="1366"/>
        <w:gridCol w:w="617"/>
        <w:gridCol w:w="730"/>
        <w:gridCol w:w="539"/>
        <w:gridCol w:w="596"/>
        <w:gridCol w:w="596"/>
        <w:gridCol w:w="596"/>
        <w:gridCol w:w="596"/>
        <w:gridCol w:w="642"/>
        <w:gridCol w:w="578"/>
        <w:gridCol w:w="637"/>
        <w:gridCol w:w="617"/>
        <w:gridCol w:w="617"/>
        <w:gridCol w:w="699"/>
        <w:gridCol w:w="592"/>
        <w:gridCol w:w="622"/>
        <w:gridCol w:w="592"/>
        <w:gridCol w:w="617"/>
        <w:gridCol w:w="660"/>
        <w:gridCol w:w="603"/>
        <w:gridCol w:w="669"/>
      </w:tblGrid>
      <w:tr>
        <w:tblPrEx>
          <w:tblCellMar>
            <w:top w:w="0" w:type="dxa"/>
            <w:left w:w="0" w:type="dxa"/>
            <w:bottom w:w="0" w:type="dxa"/>
            <w:right w:w="0" w:type="dxa"/>
          </w:tblCellMar>
        </w:tblPrEx>
        <w:trPr>
          <w:trHeight w:val="476" w:hRule="atLeast"/>
          <w:jc w:val="center"/>
        </w:trPr>
        <w:tc>
          <w:tcPr>
            <w:tcW w:w="14340" w:type="dxa"/>
            <w:gridSpan w:val="22"/>
            <w:tcBorders>
              <w:top w:val="nil"/>
              <w:left w:val="nil"/>
              <w:bottom w:val="single" w:color="000000" w:sz="4" w:space="0"/>
              <w:right w:val="nil"/>
            </w:tcBorders>
            <w:shd w:val="clear" w:color="auto" w:fill="auto"/>
            <w:noWrap/>
            <w:tcMar>
              <w:top w:w="15" w:type="dxa"/>
              <w:left w:w="15" w:type="dxa"/>
              <w:right w:w="15" w:type="dxa"/>
            </w:tcMar>
            <w:vAlign w:val="bottom"/>
          </w:tcPr>
          <w:p>
            <w:pPr>
              <w:widowControl/>
              <w:jc w:val="left"/>
              <w:textAlignment w:val="bottom"/>
              <w:rPr>
                <w:rFonts w:hint="eastAsia" w:ascii="方正黑体_GBK" w:hAnsi="方正黑体_GBK" w:eastAsia="方正黑体_GBK" w:cs="方正黑体_GBK"/>
                <w:bCs/>
                <w:color w:val="000000" w:themeColor="text1"/>
                <w:kern w:val="0"/>
                <w:sz w:val="32"/>
                <w:szCs w:val="32"/>
                <w:lang w:bidi="ar"/>
                <w14:textFill>
                  <w14:solidFill>
                    <w14:schemeClr w14:val="tx1"/>
                  </w14:solidFill>
                </w14:textFill>
              </w:rPr>
            </w:pPr>
            <w:r>
              <w:rPr>
                <w:rFonts w:hint="eastAsia" w:ascii="方正黑体_GBK" w:hAnsi="方正黑体_GBK" w:eastAsia="方正黑体_GBK" w:cs="方正黑体_GBK"/>
                <w:bCs/>
                <w:color w:val="000000" w:themeColor="text1"/>
                <w:kern w:val="0"/>
                <w:sz w:val="32"/>
                <w:szCs w:val="32"/>
                <w:lang w:bidi="ar"/>
                <w14:textFill>
                  <w14:solidFill>
                    <w14:schemeClr w14:val="tx1"/>
                  </w14:solidFill>
                </w14:textFill>
              </w:rPr>
              <w:t>附件1</w:t>
            </w:r>
          </w:p>
          <w:p>
            <w:pPr>
              <w:widowControl/>
              <w:jc w:val="center"/>
              <w:textAlignment w:val="bottom"/>
              <w:rPr>
                <w:rFonts w:ascii="宋体" w:hAnsi="宋体" w:eastAsia="宋体" w:cs="宋体"/>
                <w:b/>
                <w:color w:val="000000" w:themeColor="text1"/>
                <w:sz w:val="24"/>
                <w14:textFill>
                  <w14:solidFill>
                    <w14:schemeClr w14:val="tx1"/>
                  </w14:solidFill>
                </w14:textFill>
              </w:rPr>
            </w:pPr>
            <w:r>
              <w:rPr>
                <w:rFonts w:hint="eastAsia" w:ascii="方正小标宋_GBK" w:hAnsi="方正小标宋_GBK" w:eastAsia="方正小标宋_GBK" w:cs="方正小标宋_GBK"/>
                <w:kern w:val="0"/>
                <w:sz w:val="44"/>
                <w:szCs w:val="44"/>
                <w:shd w:val="clear" w:color="auto" w:fill="FFFFFF"/>
                <w:lang w:val="en-US" w:eastAsia="zh-CN" w:bidi="ar-SA"/>
              </w:rPr>
              <w:t>淮南市分县（市、区）消除普通高中大班额专项规划年度实施计划统计表</w:t>
            </w:r>
          </w:p>
        </w:tc>
      </w:tr>
      <w:tr>
        <w:tblPrEx>
          <w:tblCellMar>
            <w:top w:w="0" w:type="dxa"/>
            <w:left w:w="0" w:type="dxa"/>
            <w:bottom w:w="0" w:type="dxa"/>
            <w:right w:w="0" w:type="dxa"/>
          </w:tblCellMar>
        </w:tblPrEx>
        <w:trPr>
          <w:trHeight w:val="337" w:hRule="atLeast"/>
          <w:jc w:val="center"/>
        </w:trPr>
        <w:tc>
          <w:tcPr>
            <w:tcW w:w="1434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themeColor="text1"/>
                <w:sz w:val="13"/>
                <w:szCs w:val="13"/>
                <w14:textFill>
                  <w14:solidFill>
                    <w14:schemeClr w14:val="tx1"/>
                  </w14:solidFill>
                </w14:textFill>
              </w:rPr>
            </w:pPr>
            <w:r>
              <w:rPr>
                <w:rFonts w:hint="eastAsia" w:ascii="宋体" w:hAnsi="宋体" w:eastAsia="宋体" w:cs="宋体"/>
                <w:b/>
                <w:bCs w:val="0"/>
                <w:color w:val="000000" w:themeColor="text1"/>
                <w:kern w:val="0"/>
                <w:sz w:val="16"/>
                <w:szCs w:val="16"/>
                <w:lang w:bidi="ar"/>
                <w14:textFill>
                  <w14:solidFill>
                    <w14:schemeClr w14:val="tx1"/>
                  </w14:solidFill>
                </w14:textFill>
              </w:rPr>
              <w:t>填报单位（盖章）：淮南市教育体育局                          现有县区总数：10                   填报人及联系方式：谢飞 0554-6656059             填报日期：2019年11月29日</w:t>
            </w:r>
          </w:p>
        </w:tc>
      </w:tr>
      <w:tr>
        <w:tblPrEx>
          <w:tblCellMar>
            <w:top w:w="0" w:type="dxa"/>
            <w:left w:w="0" w:type="dxa"/>
            <w:bottom w:w="0" w:type="dxa"/>
            <w:right w:w="0" w:type="dxa"/>
          </w:tblCellMar>
        </w:tblPrEx>
        <w:trPr>
          <w:trHeight w:val="337" w:hRule="atLeast"/>
          <w:jc w:val="center"/>
        </w:trPr>
        <w:tc>
          <w:tcPr>
            <w:tcW w:w="1434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themeColor="text1"/>
                <w:kern w:val="0"/>
                <w:sz w:val="13"/>
                <w:szCs w:val="13"/>
                <w:lang w:bidi="ar"/>
                <w14:textFill>
                  <w14:solidFill>
                    <w14:schemeClr w14:val="tx1"/>
                  </w14:solidFill>
                </w14:textFill>
              </w:rPr>
            </w:pPr>
          </w:p>
        </w:tc>
      </w:tr>
      <w:tr>
        <w:tblPrEx>
          <w:tblCellMar>
            <w:top w:w="0" w:type="dxa"/>
            <w:left w:w="0" w:type="dxa"/>
            <w:bottom w:w="0" w:type="dxa"/>
            <w:right w:w="0" w:type="dxa"/>
          </w:tblCellMar>
        </w:tblPrEx>
        <w:trPr>
          <w:trHeight w:val="260" w:hRule="atLeast"/>
          <w:jc w:val="center"/>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1"/>
                <w:szCs w:val="11"/>
                <w14:textFill>
                  <w14:solidFill>
                    <w14:schemeClr w14:val="tx1"/>
                  </w14:solidFill>
                </w14:textFill>
              </w:rPr>
            </w:pPr>
            <w:r>
              <w:rPr>
                <w:rFonts w:hint="eastAsia" w:ascii="宋体" w:hAnsi="宋体" w:eastAsia="宋体" w:cs="宋体"/>
                <w:b/>
                <w:color w:val="000000" w:themeColor="text1"/>
                <w:kern w:val="0"/>
                <w:sz w:val="18"/>
                <w:szCs w:val="18"/>
                <w:lang w:bidi="ar"/>
                <w14:textFill>
                  <w14:solidFill>
                    <w14:schemeClr w14:val="tx1"/>
                  </w14:solidFill>
                </w14:textFill>
              </w:rPr>
              <w:t>序号</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6"/>
                <w:szCs w:val="16"/>
                <w14:textFill>
                  <w14:solidFill>
                    <w14:schemeClr w14:val="tx1"/>
                  </w14:solidFill>
                </w14:textFill>
              </w:rPr>
            </w:pPr>
            <w:r>
              <w:rPr>
                <w:rFonts w:hint="eastAsia" w:ascii="宋体" w:hAnsi="宋体" w:eastAsia="宋体" w:cs="宋体"/>
                <w:b/>
                <w:color w:val="000000" w:themeColor="text1"/>
                <w:kern w:val="0"/>
                <w:sz w:val="16"/>
                <w:szCs w:val="16"/>
                <w:lang w:bidi="ar"/>
                <w14:textFill>
                  <w14:solidFill>
                    <w14:schemeClr w14:val="tx1"/>
                  </w14:solidFill>
                </w14:textFill>
              </w:rPr>
              <w:t>单位名称</w:t>
            </w:r>
          </w:p>
        </w:tc>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6"/>
                <w:szCs w:val="16"/>
                <w14:textFill>
                  <w14:solidFill>
                    <w14:schemeClr w14:val="tx1"/>
                  </w14:solidFill>
                </w14:textFill>
              </w:rPr>
            </w:pPr>
            <w:r>
              <w:rPr>
                <w:rFonts w:hint="eastAsia" w:ascii="宋体" w:hAnsi="宋体" w:eastAsia="宋体" w:cs="宋体"/>
                <w:b/>
                <w:color w:val="000000" w:themeColor="text1"/>
                <w:kern w:val="0"/>
                <w:sz w:val="16"/>
                <w:szCs w:val="16"/>
                <w:lang w:bidi="ar"/>
                <w14:textFill>
                  <w14:solidFill>
                    <w14:schemeClr w14:val="tx1"/>
                  </w14:solidFill>
                </w14:textFill>
              </w:rPr>
              <w:t>年度</w:t>
            </w: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6"/>
                <w:szCs w:val="16"/>
                <w14:textFill>
                  <w14:solidFill>
                    <w14:schemeClr w14:val="tx1"/>
                  </w14:solidFill>
                </w14:textFill>
              </w:rPr>
            </w:pPr>
            <w:r>
              <w:rPr>
                <w:rFonts w:hint="eastAsia" w:ascii="宋体" w:hAnsi="宋体" w:eastAsia="宋体" w:cs="宋体"/>
                <w:b/>
                <w:color w:val="000000" w:themeColor="text1"/>
                <w:kern w:val="0"/>
                <w:sz w:val="16"/>
                <w:szCs w:val="16"/>
                <w:lang w:bidi="ar"/>
                <w14:textFill>
                  <w14:solidFill>
                    <w14:schemeClr w14:val="tx1"/>
                  </w14:solidFill>
                </w14:textFill>
              </w:rPr>
              <w:t>常住人口城镇化率（%）</w:t>
            </w:r>
          </w:p>
        </w:tc>
        <w:tc>
          <w:tcPr>
            <w:tcW w:w="5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3"/>
                <w:szCs w:val="13"/>
                <w14:textFill>
                  <w14:solidFill>
                    <w14:schemeClr w14:val="tx1"/>
                  </w14:solidFill>
                </w14:textFill>
              </w:rPr>
            </w:pPr>
            <w:r>
              <w:rPr>
                <w:rFonts w:hint="eastAsia" w:ascii="宋体" w:hAnsi="宋体" w:eastAsia="宋体" w:cs="宋体"/>
                <w:b/>
                <w:color w:val="000000" w:themeColor="text1"/>
                <w:kern w:val="0"/>
                <w:sz w:val="13"/>
                <w:szCs w:val="13"/>
                <w:lang w:bidi="ar"/>
                <w14:textFill>
                  <w14:solidFill>
                    <w14:schemeClr w14:val="tx1"/>
                  </w14:solidFill>
                </w14:textFill>
              </w:rPr>
              <w:t>在城镇学校就读的普通高中学生比例（%）</w:t>
            </w:r>
          </w:p>
        </w:tc>
        <w:tc>
          <w:tcPr>
            <w:tcW w:w="424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6"/>
                <w:szCs w:val="16"/>
                <w14:textFill>
                  <w14:solidFill>
                    <w14:schemeClr w14:val="tx1"/>
                  </w14:solidFill>
                </w14:textFill>
              </w:rPr>
            </w:pPr>
            <w:r>
              <w:rPr>
                <w:rFonts w:hint="eastAsia" w:ascii="宋体" w:hAnsi="宋体" w:eastAsia="宋体" w:cs="宋体"/>
                <w:b/>
                <w:color w:val="000000" w:themeColor="text1"/>
                <w:kern w:val="0"/>
                <w:sz w:val="16"/>
                <w:szCs w:val="16"/>
                <w:lang w:bidi="ar"/>
                <w14:textFill>
                  <w14:solidFill>
                    <w14:schemeClr w14:val="tx1"/>
                  </w14:solidFill>
                </w14:textFill>
              </w:rPr>
              <w:t>总计</w:t>
            </w:r>
          </w:p>
        </w:tc>
        <w:tc>
          <w:tcPr>
            <w:tcW w:w="314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6"/>
                <w:szCs w:val="16"/>
                <w14:textFill>
                  <w14:solidFill>
                    <w14:schemeClr w14:val="tx1"/>
                  </w14:solidFill>
                </w14:textFill>
              </w:rPr>
            </w:pPr>
            <w:r>
              <w:rPr>
                <w:rFonts w:hint="eastAsia" w:ascii="宋体" w:hAnsi="宋体" w:eastAsia="宋体" w:cs="宋体"/>
                <w:b/>
                <w:color w:val="000000" w:themeColor="text1"/>
                <w:kern w:val="0"/>
                <w:sz w:val="16"/>
                <w:szCs w:val="16"/>
                <w:lang w:bidi="ar"/>
                <w14:textFill>
                  <w14:solidFill>
                    <w14:schemeClr w14:val="tx1"/>
                  </w14:solidFill>
                </w14:textFill>
              </w:rPr>
              <w:t>城区</w:t>
            </w:r>
          </w:p>
        </w:tc>
        <w:tc>
          <w:tcPr>
            <w:tcW w:w="314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6"/>
                <w:szCs w:val="16"/>
                <w14:textFill>
                  <w14:solidFill>
                    <w14:schemeClr w14:val="tx1"/>
                  </w14:solidFill>
                </w14:textFill>
              </w:rPr>
            </w:pPr>
            <w:r>
              <w:rPr>
                <w:rFonts w:hint="eastAsia" w:ascii="宋体" w:hAnsi="宋体" w:eastAsia="宋体" w:cs="宋体"/>
                <w:b/>
                <w:color w:val="000000" w:themeColor="text1"/>
                <w:kern w:val="0"/>
                <w:sz w:val="16"/>
                <w:szCs w:val="16"/>
                <w:lang w:bidi="ar"/>
                <w14:textFill>
                  <w14:solidFill>
                    <w14:schemeClr w14:val="tx1"/>
                  </w14:solidFill>
                </w14:textFill>
              </w:rPr>
              <w:t>镇区</w:t>
            </w:r>
          </w:p>
        </w:tc>
      </w:tr>
      <w:tr>
        <w:tblPrEx>
          <w:tblCellMar>
            <w:top w:w="0" w:type="dxa"/>
            <w:left w:w="0" w:type="dxa"/>
            <w:bottom w:w="0" w:type="dxa"/>
            <w:right w:w="0" w:type="dxa"/>
          </w:tblCellMar>
        </w:tblPrEx>
        <w:trPr>
          <w:trHeight w:val="1047"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themeColor="text1"/>
                <w:sz w:val="11"/>
                <w:szCs w:val="11"/>
                <w14:textFill>
                  <w14:solidFill>
                    <w14:schemeClr w14:val="tx1"/>
                  </w14:solidFill>
                </w14:textFill>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themeColor="text1"/>
                <w:sz w:val="16"/>
                <w:szCs w:val="16"/>
                <w14:textFill>
                  <w14:solidFill>
                    <w14:schemeClr w14:val="tx1"/>
                  </w14:solidFill>
                </w14:textFill>
              </w:rPr>
            </w:pPr>
          </w:p>
        </w:tc>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themeColor="text1"/>
                <w:sz w:val="16"/>
                <w:szCs w:val="16"/>
                <w14:textFill>
                  <w14:solidFill>
                    <w14:schemeClr w14:val="tx1"/>
                  </w14:solidFill>
                </w14:textFill>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themeColor="text1"/>
                <w:sz w:val="16"/>
                <w:szCs w:val="16"/>
                <w14:textFill>
                  <w14:solidFill>
                    <w14:schemeClr w14:val="tx1"/>
                  </w14:solidFill>
                </w14:textFill>
              </w:rPr>
            </w:pPr>
          </w:p>
        </w:tc>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themeColor="text1"/>
                <w:sz w:val="13"/>
                <w:szCs w:val="13"/>
                <w14:textFill>
                  <w14:solidFill>
                    <w14:schemeClr w14:val="tx1"/>
                  </w14:solidFill>
                </w14:textFill>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3"/>
                <w:szCs w:val="13"/>
                <w14:textFill>
                  <w14:solidFill>
                    <w14:schemeClr w14:val="tx1"/>
                  </w14:solidFill>
                </w14:textFill>
              </w:rPr>
            </w:pPr>
            <w:r>
              <w:rPr>
                <w:rFonts w:hint="eastAsia" w:ascii="宋体" w:hAnsi="宋体" w:eastAsia="宋体" w:cs="宋体"/>
                <w:b/>
                <w:color w:val="000000" w:themeColor="text1"/>
                <w:kern w:val="0"/>
                <w:sz w:val="13"/>
                <w:szCs w:val="13"/>
                <w:lang w:bidi="ar"/>
                <w14:textFill>
                  <w14:solidFill>
                    <w14:schemeClr w14:val="tx1"/>
                  </w14:solidFill>
                </w14:textFill>
              </w:rPr>
              <w:t>学校数（所）</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3"/>
                <w:szCs w:val="13"/>
                <w14:textFill>
                  <w14:solidFill>
                    <w14:schemeClr w14:val="tx1"/>
                  </w14:solidFill>
                </w14:textFill>
              </w:rPr>
            </w:pPr>
            <w:r>
              <w:rPr>
                <w:rFonts w:hint="eastAsia" w:ascii="宋体" w:hAnsi="宋体" w:eastAsia="宋体" w:cs="宋体"/>
                <w:b/>
                <w:color w:val="000000" w:themeColor="text1"/>
                <w:kern w:val="0"/>
                <w:sz w:val="13"/>
                <w:szCs w:val="13"/>
                <w:lang w:bidi="ar"/>
                <w14:textFill>
                  <w14:solidFill>
                    <w14:schemeClr w14:val="tx1"/>
                  </w14:solidFill>
                </w14:textFill>
              </w:rPr>
              <w:t>班级数（个）</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3"/>
                <w:szCs w:val="13"/>
                <w14:textFill>
                  <w14:solidFill>
                    <w14:schemeClr w14:val="tx1"/>
                  </w14:solidFill>
                </w14:textFill>
              </w:rPr>
            </w:pPr>
            <w:r>
              <w:rPr>
                <w:rFonts w:hint="eastAsia" w:ascii="宋体" w:hAnsi="宋体" w:eastAsia="宋体" w:cs="宋体"/>
                <w:b/>
                <w:color w:val="000000" w:themeColor="text1"/>
                <w:kern w:val="0"/>
                <w:sz w:val="13"/>
                <w:szCs w:val="13"/>
                <w:lang w:bidi="ar"/>
                <w14:textFill>
                  <w14:solidFill>
                    <w14:schemeClr w14:val="tx1"/>
                  </w14:solidFill>
                </w14:textFill>
              </w:rPr>
              <w:t>平均班额（人）</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3"/>
                <w:szCs w:val="13"/>
                <w14:textFill>
                  <w14:solidFill>
                    <w14:schemeClr w14:val="tx1"/>
                  </w14:solidFill>
                </w14:textFill>
              </w:rPr>
            </w:pPr>
            <w:r>
              <w:rPr>
                <w:rFonts w:hint="eastAsia" w:ascii="宋体" w:hAnsi="宋体" w:eastAsia="宋体" w:cs="宋体"/>
                <w:b/>
                <w:color w:val="000000" w:themeColor="text1"/>
                <w:kern w:val="0"/>
                <w:sz w:val="13"/>
                <w:szCs w:val="13"/>
                <w:lang w:bidi="ar"/>
                <w14:textFill>
                  <w14:solidFill>
                    <w14:schemeClr w14:val="tx1"/>
                  </w14:solidFill>
                </w14:textFill>
              </w:rPr>
              <w:t>大班额班级数（个）</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1"/>
                <w:szCs w:val="11"/>
                <w14:textFill>
                  <w14:solidFill>
                    <w14:schemeClr w14:val="tx1"/>
                  </w14:solidFill>
                </w14:textFill>
              </w:rPr>
            </w:pPr>
            <w:r>
              <w:rPr>
                <w:rFonts w:hint="eastAsia" w:ascii="宋体" w:hAnsi="宋体" w:eastAsia="宋体" w:cs="宋体"/>
                <w:b/>
                <w:color w:val="000000" w:themeColor="text1"/>
                <w:kern w:val="0"/>
                <w:sz w:val="11"/>
                <w:szCs w:val="11"/>
                <w:lang w:bidi="ar"/>
                <w14:textFill>
                  <w14:solidFill>
                    <w14:schemeClr w14:val="tx1"/>
                  </w14:solidFill>
                </w14:textFill>
              </w:rPr>
              <w:t>超大班额班级数（个）</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3"/>
                <w:szCs w:val="13"/>
                <w14:textFill>
                  <w14:solidFill>
                    <w14:schemeClr w14:val="tx1"/>
                  </w14:solidFill>
                </w14:textFill>
              </w:rPr>
            </w:pPr>
            <w:r>
              <w:rPr>
                <w:rFonts w:hint="eastAsia" w:ascii="宋体" w:hAnsi="宋体" w:eastAsia="宋体" w:cs="宋体"/>
                <w:b/>
                <w:color w:val="000000" w:themeColor="text1"/>
                <w:kern w:val="0"/>
                <w:sz w:val="13"/>
                <w:szCs w:val="13"/>
                <w:lang w:bidi="ar"/>
                <w14:textFill>
                  <w14:solidFill>
                    <w14:schemeClr w14:val="tx1"/>
                  </w14:solidFill>
                </w14:textFill>
              </w:rPr>
              <w:t>大班额比例（%）</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3"/>
                <w:szCs w:val="13"/>
                <w14:textFill>
                  <w14:solidFill>
                    <w14:schemeClr w14:val="tx1"/>
                  </w14:solidFill>
                </w14:textFill>
              </w:rPr>
            </w:pPr>
            <w:r>
              <w:rPr>
                <w:rFonts w:hint="eastAsia" w:ascii="宋体" w:hAnsi="宋体" w:eastAsia="宋体" w:cs="宋体"/>
                <w:b/>
                <w:color w:val="000000" w:themeColor="text1"/>
                <w:kern w:val="0"/>
                <w:sz w:val="13"/>
                <w:szCs w:val="13"/>
                <w:lang w:bidi="ar"/>
                <w14:textFill>
                  <w14:solidFill>
                    <w14:schemeClr w14:val="tx1"/>
                  </w14:solidFill>
                </w14:textFill>
              </w:rPr>
              <w:t>超大班额比例（%）</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1"/>
                <w:szCs w:val="11"/>
                <w14:textFill>
                  <w14:solidFill>
                    <w14:schemeClr w14:val="tx1"/>
                  </w14:solidFill>
                </w14:textFill>
              </w:rPr>
            </w:pPr>
            <w:r>
              <w:rPr>
                <w:rFonts w:hint="eastAsia" w:ascii="宋体" w:hAnsi="宋体" w:eastAsia="宋体" w:cs="宋体"/>
                <w:b/>
                <w:color w:val="000000" w:themeColor="text1"/>
                <w:kern w:val="0"/>
                <w:sz w:val="11"/>
                <w:szCs w:val="11"/>
                <w:lang w:bidi="ar"/>
                <w14:textFill>
                  <w14:solidFill>
                    <w14:schemeClr w14:val="tx1"/>
                  </w14:solidFill>
                </w14:textFill>
              </w:rPr>
              <w:t>学校数（所）</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1"/>
                <w:szCs w:val="11"/>
                <w14:textFill>
                  <w14:solidFill>
                    <w14:schemeClr w14:val="tx1"/>
                  </w14:solidFill>
                </w14:textFill>
              </w:rPr>
            </w:pPr>
            <w:r>
              <w:rPr>
                <w:rFonts w:hint="eastAsia" w:ascii="宋体" w:hAnsi="宋体" w:eastAsia="宋体" w:cs="宋体"/>
                <w:b/>
                <w:color w:val="000000" w:themeColor="text1"/>
                <w:kern w:val="0"/>
                <w:sz w:val="11"/>
                <w:szCs w:val="11"/>
                <w:lang w:bidi="ar"/>
                <w14:textFill>
                  <w14:solidFill>
                    <w14:schemeClr w14:val="tx1"/>
                  </w14:solidFill>
                </w14:textFill>
              </w:rPr>
              <w:t>班级数（个）</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1"/>
                <w:szCs w:val="11"/>
                <w14:textFill>
                  <w14:solidFill>
                    <w14:schemeClr w14:val="tx1"/>
                  </w14:solidFill>
                </w14:textFill>
              </w:rPr>
            </w:pPr>
            <w:r>
              <w:rPr>
                <w:rFonts w:hint="eastAsia" w:ascii="宋体" w:hAnsi="宋体" w:eastAsia="宋体" w:cs="宋体"/>
                <w:b/>
                <w:color w:val="000000" w:themeColor="text1"/>
                <w:kern w:val="0"/>
                <w:sz w:val="11"/>
                <w:szCs w:val="11"/>
                <w:lang w:bidi="ar"/>
                <w14:textFill>
                  <w14:solidFill>
                    <w14:schemeClr w14:val="tx1"/>
                  </w14:solidFill>
                </w14:textFill>
              </w:rPr>
              <w:t>平均班额</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1"/>
                <w:szCs w:val="11"/>
                <w14:textFill>
                  <w14:solidFill>
                    <w14:schemeClr w14:val="tx1"/>
                  </w14:solidFill>
                </w14:textFill>
              </w:rPr>
            </w:pPr>
            <w:r>
              <w:rPr>
                <w:rFonts w:hint="eastAsia" w:ascii="宋体" w:hAnsi="宋体" w:eastAsia="宋体" w:cs="宋体"/>
                <w:b/>
                <w:color w:val="000000" w:themeColor="text1"/>
                <w:kern w:val="0"/>
                <w:sz w:val="11"/>
                <w:szCs w:val="11"/>
                <w:lang w:bidi="ar"/>
                <w14:textFill>
                  <w14:solidFill>
                    <w14:schemeClr w14:val="tx1"/>
                  </w14:solidFill>
                </w14:textFill>
              </w:rPr>
              <w:t>大班额班级数（个）</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1"/>
                <w:szCs w:val="11"/>
                <w14:textFill>
                  <w14:solidFill>
                    <w14:schemeClr w14:val="tx1"/>
                  </w14:solidFill>
                </w14:textFill>
              </w:rPr>
            </w:pPr>
            <w:r>
              <w:rPr>
                <w:rFonts w:hint="eastAsia" w:ascii="宋体" w:hAnsi="宋体" w:eastAsia="宋体" w:cs="宋体"/>
                <w:b/>
                <w:color w:val="000000" w:themeColor="text1"/>
                <w:kern w:val="0"/>
                <w:sz w:val="11"/>
                <w:szCs w:val="11"/>
                <w:lang w:bidi="ar"/>
                <w14:textFill>
                  <w14:solidFill>
                    <w14:schemeClr w14:val="tx1"/>
                  </w14:solidFill>
                </w14:textFill>
              </w:rPr>
              <w:t>超大班额班级数（个）</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1"/>
                <w:szCs w:val="11"/>
                <w14:textFill>
                  <w14:solidFill>
                    <w14:schemeClr w14:val="tx1"/>
                  </w14:solidFill>
                </w14:textFill>
              </w:rPr>
            </w:pPr>
            <w:r>
              <w:rPr>
                <w:rFonts w:hint="eastAsia" w:ascii="宋体" w:hAnsi="宋体" w:eastAsia="宋体" w:cs="宋体"/>
                <w:b/>
                <w:color w:val="000000" w:themeColor="text1"/>
                <w:kern w:val="0"/>
                <w:sz w:val="11"/>
                <w:szCs w:val="11"/>
                <w:lang w:bidi="ar"/>
                <w14:textFill>
                  <w14:solidFill>
                    <w14:schemeClr w14:val="tx1"/>
                  </w14:solidFill>
                </w14:textFill>
              </w:rPr>
              <w:t>学校数（所）</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1"/>
                <w:szCs w:val="11"/>
                <w14:textFill>
                  <w14:solidFill>
                    <w14:schemeClr w14:val="tx1"/>
                  </w14:solidFill>
                </w14:textFill>
              </w:rPr>
            </w:pPr>
            <w:r>
              <w:rPr>
                <w:rFonts w:hint="eastAsia" w:ascii="宋体" w:hAnsi="宋体" w:eastAsia="宋体" w:cs="宋体"/>
                <w:b/>
                <w:color w:val="000000" w:themeColor="text1"/>
                <w:kern w:val="0"/>
                <w:sz w:val="11"/>
                <w:szCs w:val="11"/>
                <w:lang w:bidi="ar"/>
                <w14:textFill>
                  <w14:solidFill>
                    <w14:schemeClr w14:val="tx1"/>
                  </w14:solidFill>
                </w14:textFill>
              </w:rPr>
              <w:t>班级数（个）</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1"/>
                <w:szCs w:val="11"/>
                <w14:textFill>
                  <w14:solidFill>
                    <w14:schemeClr w14:val="tx1"/>
                  </w14:solidFill>
                </w14:textFill>
              </w:rPr>
            </w:pPr>
            <w:r>
              <w:rPr>
                <w:rFonts w:hint="eastAsia" w:ascii="宋体" w:hAnsi="宋体" w:eastAsia="宋体" w:cs="宋体"/>
                <w:b/>
                <w:color w:val="000000" w:themeColor="text1"/>
                <w:kern w:val="0"/>
                <w:sz w:val="11"/>
                <w:szCs w:val="11"/>
                <w:lang w:bidi="ar"/>
                <w14:textFill>
                  <w14:solidFill>
                    <w14:schemeClr w14:val="tx1"/>
                  </w14:solidFill>
                </w14:textFill>
              </w:rPr>
              <w:t>平均班额（人）</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1"/>
                <w:szCs w:val="11"/>
                <w14:textFill>
                  <w14:solidFill>
                    <w14:schemeClr w14:val="tx1"/>
                  </w14:solidFill>
                </w14:textFill>
              </w:rPr>
            </w:pPr>
            <w:r>
              <w:rPr>
                <w:rFonts w:hint="eastAsia" w:ascii="宋体" w:hAnsi="宋体" w:eastAsia="宋体" w:cs="宋体"/>
                <w:b/>
                <w:color w:val="000000" w:themeColor="text1"/>
                <w:kern w:val="0"/>
                <w:sz w:val="11"/>
                <w:szCs w:val="11"/>
                <w:lang w:bidi="ar"/>
                <w14:textFill>
                  <w14:solidFill>
                    <w14:schemeClr w14:val="tx1"/>
                  </w14:solidFill>
                </w14:textFill>
              </w:rPr>
              <w:t>大班额班级数（个）</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1"/>
                <w:szCs w:val="11"/>
                <w14:textFill>
                  <w14:solidFill>
                    <w14:schemeClr w14:val="tx1"/>
                  </w14:solidFill>
                </w14:textFill>
              </w:rPr>
            </w:pPr>
            <w:r>
              <w:rPr>
                <w:rFonts w:hint="eastAsia" w:ascii="宋体" w:hAnsi="宋体" w:eastAsia="宋体" w:cs="宋体"/>
                <w:b/>
                <w:color w:val="000000" w:themeColor="text1"/>
                <w:kern w:val="0"/>
                <w:sz w:val="11"/>
                <w:szCs w:val="11"/>
                <w:lang w:bidi="ar"/>
                <w14:textFill>
                  <w14:solidFill>
                    <w14:schemeClr w14:val="tx1"/>
                  </w14:solidFill>
                </w14:textFill>
              </w:rPr>
              <w:t>超大班额班级数（个）</w:t>
            </w:r>
          </w:p>
        </w:tc>
      </w:tr>
      <w:tr>
        <w:tblPrEx>
          <w:tblCellMar>
            <w:top w:w="0" w:type="dxa"/>
            <w:left w:w="0" w:type="dxa"/>
            <w:bottom w:w="0" w:type="dxa"/>
            <w:right w:w="0" w:type="dxa"/>
          </w:tblCellMar>
        </w:tblPrEx>
        <w:trPr>
          <w:trHeight w:val="26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themeColor="text1"/>
                <w:sz w:val="16"/>
                <w:szCs w:val="16"/>
                <w14:textFill>
                  <w14:solidFill>
                    <w14:schemeClr w14:val="tx1"/>
                  </w14:solidFill>
                </w14:textFill>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A1</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A2</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B1</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B2</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B3</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B4</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B5</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B6</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B7</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C1</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C2</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C3</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C4</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C5</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D1</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D2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D3</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D4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D5</w:t>
            </w:r>
          </w:p>
        </w:tc>
      </w:tr>
      <w:tr>
        <w:tblPrEx>
          <w:tblCellMar>
            <w:top w:w="0" w:type="dxa"/>
            <w:left w:w="0" w:type="dxa"/>
            <w:bottom w:w="0" w:type="dxa"/>
            <w:right w:w="0" w:type="dxa"/>
          </w:tblCellMar>
        </w:tblPrEx>
        <w:trPr>
          <w:trHeight w:val="275" w:hRule="atLeast"/>
          <w:jc w:val="center"/>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w:t>
            </w:r>
          </w:p>
        </w:tc>
        <w:tc>
          <w:tcPr>
            <w:tcW w:w="1366"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淮南市</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2019年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56.55%</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29</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1027</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49.55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3.9%</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13</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498</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48.88 </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16</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529</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50.18 </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2020年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57.04%</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29</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1038</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50.20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19</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1.8%</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13</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501</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49.19 </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9</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16</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537</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51.14 </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2021年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57.55%</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29</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1063</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50.40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7</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0.7%</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13</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505</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49.39 </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16</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558</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51.31 </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2022年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58.15%</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29</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1071</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50.65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0.2%</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13</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504</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50.00 </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16</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567</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51.23 </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2023年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58.78%</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29</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1071</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50.65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13</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504</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50.00 </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17</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567</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51.23 </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w:t>
            </w:r>
          </w:p>
        </w:tc>
        <w:tc>
          <w:tcPr>
            <w:tcW w:w="1366"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寿县</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2019年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44.97%</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8</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341</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50.35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8</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341</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50.35 </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2020年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46.00%</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8</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343</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51.41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8</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343</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51.41 </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2021年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47.01%</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8</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348</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51.36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8</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348</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51.36 </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2022年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48.01%</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8</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349</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51.43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8</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349</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51.43 </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2023年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48.99%</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8</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349</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51.43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8</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349</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51.43 </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w:t>
            </w:r>
          </w:p>
        </w:tc>
        <w:tc>
          <w:tcPr>
            <w:tcW w:w="1366"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凤台县</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2019年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46.00%</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151</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51.17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14</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9.3%</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151</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51.17 </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2020年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47.02%</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152</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51.62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7</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4.6%</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152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51.62 </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7</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2021年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48.03%</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163</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51.91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0.6%</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163</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51.91 </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2022年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49.02%</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167</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51.20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167</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51.20 </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2023年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50.00%</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167</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51.20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167</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51.20 </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w:t>
            </w:r>
          </w:p>
        </w:tc>
        <w:tc>
          <w:tcPr>
            <w:tcW w:w="1366"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田家庵区</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2019年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88.71%</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226</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51.38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4.4%</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 </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226</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51.38 </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2020年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88.71%</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223</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50.98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6</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2.7%</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 </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223</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50.98 </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6</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2021年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88.71%</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223</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50.62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1.8%</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 </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223</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50.62 </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2022年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88.71%</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223</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50.63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0.9%</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 </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223</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50.63 </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2023年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88.71%</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223</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50.63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 </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223</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50.63 </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w:t>
            </w:r>
          </w:p>
        </w:tc>
        <w:tc>
          <w:tcPr>
            <w:tcW w:w="1366"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潘集区</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2019年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64.12%</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49.80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1 </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49.80 </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2020年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64.81%</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46.67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1 </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46.67 </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2021年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65.62%</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46.67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1 </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46.67 </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2022年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66.31%</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46.67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1 </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46.67 </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2023年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67.21%</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46.67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1 </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46.67 </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6</w:t>
            </w:r>
          </w:p>
        </w:tc>
        <w:tc>
          <w:tcPr>
            <w:tcW w:w="1366"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大通区</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2019年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98.02%</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22</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42.23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42.23 </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2020年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98.00%</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22</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46.09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46.09 </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2021年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97.70%</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22</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48.95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48.95 </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2022年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98.29%</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24</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50.00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24</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50.00 </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2023年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98.86%</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24</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50.00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24</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50.00 </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7</w:t>
            </w:r>
          </w:p>
        </w:tc>
        <w:tc>
          <w:tcPr>
            <w:tcW w:w="1366"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谢家集区</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2019年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47.05%</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83</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46.25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6</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7.2%</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 </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81</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46.22 </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6</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47.5</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6</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2020年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47.05%</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91</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48.14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3.3%</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 </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86</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48.09 </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49.0</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2021年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47.05%</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99</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48.39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 </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91</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48.31 </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8</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49.4</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2022年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47.05%</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102</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49.12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 </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93</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49.03 </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9</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50.0</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2023年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47.05%</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102</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49.12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 </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93</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49.03 </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9</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50.0</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8</w:t>
            </w:r>
          </w:p>
        </w:tc>
        <w:tc>
          <w:tcPr>
            <w:tcW w:w="1366"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八公山区</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2019年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35.68%</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53</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48.57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7.5%</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2 </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53</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48.57 </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2020年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35.96%</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54</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51.30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2 </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54</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51.30 </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2021年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36.36%</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54</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53.19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2 </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54</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53.19 </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2022年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36.89%</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56</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53.57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2 </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56</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53.57 </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2023年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37.68%</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56</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53.57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2 </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56</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53.57 </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9</w:t>
            </w:r>
          </w:p>
        </w:tc>
        <w:tc>
          <w:tcPr>
            <w:tcW w:w="1366"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毛集区</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2019年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30.48%</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13</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47.77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13</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47.77 </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2020年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31.13%</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15</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48.20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15</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48.20 </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2021年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31.78%</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17</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48.59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17</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48.59 </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2022年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33.33%</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18</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50.00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18</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50.00 </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2023年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33.94%</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18</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50.00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18</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50.00 </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w:t>
            </w:r>
          </w:p>
        </w:tc>
        <w:tc>
          <w:tcPr>
            <w:tcW w:w="1366"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高新区</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2019年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84.62%</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108</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45.54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1 </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108</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45.54 </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2020年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89.29%</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108</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46.02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1 </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108</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46.02 </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2021年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86.67%</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107</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46.58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1 </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107</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46.58 </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2022年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87.50%</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102</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48.53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1 </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102</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48.53 </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2023年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91.43%</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102</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48.53 </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1 </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102</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48.53 </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11</w:t>
            </w:r>
          </w:p>
        </w:tc>
        <w:tc>
          <w:tcPr>
            <w:tcW w:w="1366"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经开区</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2019年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100.00%</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2020年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100.00%</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2021年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100.00%</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2022年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100.00%</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325"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66"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2023年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100.00%</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14:textFill>
                  <w14:solidFill>
                    <w14:schemeClr w14:val="tx1"/>
                  </w14:solidFill>
                </w14:textFill>
              </w:rPr>
              <w:t>0</w:t>
            </w:r>
          </w:p>
        </w:tc>
      </w:tr>
      <w:tr>
        <w:tblPrEx>
          <w:tblCellMar>
            <w:top w:w="0" w:type="dxa"/>
            <w:left w:w="0" w:type="dxa"/>
            <w:bottom w:w="0" w:type="dxa"/>
            <w:right w:w="0" w:type="dxa"/>
          </w:tblCellMar>
        </w:tblPrEx>
        <w:trPr>
          <w:trHeight w:val="1657"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3781" w:type="dxa"/>
            <w:gridSpan w:val="21"/>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themeColor="text1"/>
                <w:kern w:val="0"/>
                <w:sz w:val="16"/>
                <w:szCs w:val="16"/>
                <w:lang w:eastAsia="zh-CN" w:bidi="ar"/>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说明：1.本表以县（市、区）为单位填报，县（市、区）汇总后报市汇总。2019年填写现有实数，2020年-2023年根据预测填写规划数。</w:t>
            </w:r>
          </w:p>
          <w:p>
            <w:pPr>
              <w:jc w:val="left"/>
              <w:rPr>
                <w:rFonts w:hint="eastAsia" w:ascii="宋体" w:hAnsi="宋体" w:eastAsia="宋体" w:cs="宋体"/>
                <w:color w:val="000000" w:themeColor="text1"/>
                <w:kern w:val="0"/>
                <w:sz w:val="16"/>
                <w:szCs w:val="16"/>
                <w:lang w:eastAsia="zh-CN" w:bidi="ar"/>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      2.城区、镇区、乡村的分类采用国家统计局《统计用城乡划分代码》，即城区（含主城区、城乡结合部）、镇区（含镇中心区、镇乡结合区、特殊区域）、乡村（含乡中心区、村庄）</w:t>
            </w:r>
          </w:p>
          <w:p>
            <w:pPr>
              <w:jc w:val="left"/>
              <w:rPr>
                <w:rFonts w:hint="eastAsia" w:ascii="宋体" w:hAnsi="宋体" w:eastAsia="宋体" w:cs="宋体"/>
                <w:color w:val="000000" w:themeColor="text1"/>
                <w:kern w:val="0"/>
                <w:sz w:val="16"/>
                <w:szCs w:val="16"/>
                <w:lang w:eastAsia="zh-CN" w:bidi="ar"/>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      3.大班额是指班级人数≥56人，超大班额是指班级人数≥66人。平均班额=学生数/班级数。</w:t>
            </w:r>
          </w:p>
          <w:p>
            <w:pPr>
              <w:jc w:val="left"/>
              <w:rPr>
                <w:rFonts w:hint="eastAsia" w:ascii="宋体" w:hAnsi="宋体" w:eastAsia="宋体" w:cs="宋体"/>
                <w:color w:val="000000" w:themeColor="text1"/>
                <w:kern w:val="0"/>
                <w:sz w:val="16"/>
                <w:szCs w:val="16"/>
                <w:lang w:eastAsia="zh-CN" w:bidi="ar"/>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      4.在城镇学校就读的普通高中学生比例=在城镇学校就读的普通高中学生数/普通高中学生总数。</w:t>
            </w:r>
          </w:p>
          <w:p>
            <w:pPr>
              <w:jc w:val="left"/>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      5.校验关系：B1=C1+D1+E1；B2=C2+D2+E2；B4=C4+D4+E4；B5=C5+D5+E5；B6=C6+C11+D6+D11+E6+E11；B6=B4/B2；B7=B5/B2。</w:t>
            </w:r>
          </w:p>
        </w:tc>
      </w:tr>
    </w:tbl>
    <w:p>
      <w:pPr>
        <w:rPr>
          <w:rFonts w:hint="default"/>
          <w:lang w:val="en-US" w:eastAsia="zh-CN"/>
        </w:rPr>
      </w:pPr>
      <w:r>
        <w:rPr>
          <w:rFonts w:hint="default"/>
          <w:lang w:val="en-US" w:eastAsia="zh-CN"/>
        </w:rPr>
        <w:br w:type="page"/>
      </w:r>
    </w:p>
    <w:tbl>
      <w:tblPr>
        <w:tblStyle w:val="7"/>
        <w:tblW w:w="14474" w:type="dxa"/>
        <w:jc w:val="center"/>
        <w:tblLayout w:type="autofit"/>
        <w:tblCellMar>
          <w:top w:w="0" w:type="dxa"/>
          <w:left w:w="0" w:type="dxa"/>
          <w:bottom w:w="0" w:type="dxa"/>
          <w:right w:w="0" w:type="dxa"/>
        </w:tblCellMar>
      </w:tblPr>
      <w:tblGrid>
        <w:gridCol w:w="1923"/>
        <w:gridCol w:w="938"/>
        <w:gridCol w:w="492"/>
        <w:gridCol w:w="985"/>
        <w:gridCol w:w="985"/>
        <w:gridCol w:w="985"/>
        <w:gridCol w:w="985"/>
        <w:gridCol w:w="985"/>
        <w:gridCol w:w="985"/>
        <w:gridCol w:w="985"/>
        <w:gridCol w:w="1430"/>
        <w:gridCol w:w="1239"/>
        <w:gridCol w:w="1557"/>
      </w:tblGrid>
      <w:tr>
        <w:tblPrEx>
          <w:tblCellMar>
            <w:top w:w="0" w:type="dxa"/>
            <w:left w:w="0" w:type="dxa"/>
            <w:bottom w:w="0" w:type="dxa"/>
            <w:right w:w="0" w:type="dxa"/>
          </w:tblCellMar>
        </w:tblPrEx>
        <w:trPr>
          <w:trHeight w:val="502" w:hRule="atLeast"/>
          <w:jc w:val="center"/>
        </w:trPr>
        <w:tc>
          <w:tcPr>
            <w:tcW w:w="14474" w:type="dxa"/>
            <w:gridSpan w:val="13"/>
            <w:tcBorders>
              <w:top w:val="nil"/>
              <w:left w:val="nil"/>
              <w:bottom w:val="nil"/>
              <w:right w:val="nil"/>
            </w:tcBorders>
            <w:shd w:val="clear" w:color="auto" w:fill="auto"/>
            <w:tcMar>
              <w:top w:w="15" w:type="dxa"/>
              <w:left w:w="15" w:type="dxa"/>
              <w:right w:w="15" w:type="dxa"/>
            </w:tcMar>
            <w:vAlign w:val="center"/>
          </w:tcPr>
          <w:p>
            <w:pPr>
              <w:jc w:val="left"/>
              <w:rPr>
                <w:rFonts w:ascii="宋体" w:hAnsi="宋体" w:eastAsia="宋体" w:cs="宋体"/>
                <w:color w:val="000000" w:themeColor="text1"/>
                <w:sz w:val="22"/>
                <w:szCs w:val="22"/>
                <w14:textFill>
                  <w14:solidFill>
                    <w14:schemeClr w14:val="tx1"/>
                  </w14:solidFill>
                </w14:textFill>
              </w:rPr>
            </w:pPr>
            <w:r>
              <w:rPr>
                <w:rFonts w:hint="eastAsia" w:ascii="方正黑体_GBK" w:hAnsi="方正黑体_GBK" w:eastAsia="方正黑体_GBK" w:cs="方正黑体_GBK"/>
                <w:color w:val="000000" w:themeColor="text1"/>
                <w:kern w:val="0"/>
                <w:sz w:val="32"/>
                <w:szCs w:val="32"/>
                <w:lang w:bidi="ar"/>
                <w14:textFill>
                  <w14:solidFill>
                    <w14:schemeClr w14:val="tx1"/>
                  </w14:solidFill>
                </w14:textFill>
              </w:rPr>
              <w:t>附件2：</w:t>
            </w:r>
          </w:p>
        </w:tc>
      </w:tr>
      <w:tr>
        <w:tblPrEx>
          <w:tblCellMar>
            <w:top w:w="0" w:type="dxa"/>
            <w:left w:w="0" w:type="dxa"/>
            <w:bottom w:w="0" w:type="dxa"/>
            <w:right w:w="0" w:type="dxa"/>
          </w:tblCellMar>
        </w:tblPrEx>
        <w:trPr>
          <w:trHeight w:val="458" w:hRule="atLeast"/>
          <w:jc w:val="center"/>
        </w:trPr>
        <w:tc>
          <w:tcPr>
            <w:tcW w:w="14474" w:type="dxa"/>
            <w:gridSpan w:val="1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28"/>
                <w:szCs w:val="28"/>
                <w14:textFill>
                  <w14:solidFill>
                    <w14:schemeClr w14:val="tx1"/>
                  </w14:solidFill>
                </w14:textFill>
              </w:rPr>
            </w:pPr>
            <w:r>
              <w:rPr>
                <w:rFonts w:hint="eastAsia" w:ascii="方正小标宋_GBK" w:hAnsi="方正小标宋_GBK" w:eastAsia="方正小标宋_GBK" w:cs="方正小标宋_GBK"/>
                <w:kern w:val="0"/>
                <w:sz w:val="44"/>
                <w:szCs w:val="44"/>
                <w:shd w:val="clear" w:color="auto" w:fill="FFFFFF"/>
                <w:lang w:val="en-US" w:eastAsia="zh-CN" w:bidi="ar-SA"/>
              </w:rPr>
              <w:t>市级消除普通高中大班额专项规划年度实施计划汇总表</w:t>
            </w:r>
          </w:p>
        </w:tc>
      </w:tr>
      <w:tr>
        <w:tblPrEx>
          <w:tblCellMar>
            <w:top w:w="0" w:type="dxa"/>
            <w:left w:w="0" w:type="dxa"/>
            <w:bottom w:w="0" w:type="dxa"/>
            <w:right w:w="0" w:type="dxa"/>
          </w:tblCellMar>
        </w:tblPrEx>
        <w:trPr>
          <w:trHeight w:val="561" w:hRule="atLeast"/>
          <w:jc w:val="center"/>
        </w:trPr>
        <w:tc>
          <w:tcPr>
            <w:tcW w:w="14474" w:type="dxa"/>
            <w:gridSpan w:val="13"/>
            <w:tcBorders>
              <w:top w:val="nil"/>
              <w:left w:val="nil"/>
              <w:bottom w:val="single" w:color="000000" w:sz="8" w:space="0"/>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themeColor="text1"/>
                <w:sz w:val="16"/>
                <w:szCs w:val="16"/>
                <w14:textFill>
                  <w14:solidFill>
                    <w14:schemeClr w14:val="tx1"/>
                  </w14:solidFill>
                </w14:textFill>
              </w:rPr>
            </w:pPr>
            <w:r>
              <w:rPr>
                <w:rFonts w:hint="eastAsia" w:ascii="宋体" w:hAnsi="宋体" w:eastAsia="宋体" w:cs="宋体"/>
                <w:b/>
                <w:color w:val="000000" w:themeColor="text1"/>
                <w:kern w:val="0"/>
                <w:sz w:val="16"/>
                <w:szCs w:val="16"/>
                <w:lang w:bidi="ar"/>
                <w14:textFill>
                  <w14:solidFill>
                    <w14:schemeClr w14:val="tx1"/>
                  </w14:solidFill>
                </w14:textFill>
              </w:rPr>
              <w:t>填报单位</w:t>
            </w:r>
            <w:r>
              <w:rPr>
                <w:rFonts w:hint="eastAsia" w:ascii="宋体" w:hAnsi="宋体" w:eastAsia="宋体" w:cs="宋体"/>
                <w:b/>
                <w:color w:val="000000" w:themeColor="text1"/>
                <w:kern w:val="0"/>
                <w:sz w:val="16"/>
                <w:szCs w:val="16"/>
                <w:lang w:eastAsia="zh-CN" w:bidi="ar"/>
                <w14:textFill>
                  <w14:solidFill>
                    <w14:schemeClr w14:val="tx1"/>
                  </w14:solidFill>
                </w14:textFill>
              </w:rPr>
              <w:t>（</w:t>
            </w:r>
            <w:r>
              <w:rPr>
                <w:rFonts w:hint="eastAsia" w:ascii="宋体" w:hAnsi="宋体" w:eastAsia="宋体" w:cs="宋体"/>
                <w:b/>
                <w:color w:val="000000" w:themeColor="text1"/>
                <w:kern w:val="0"/>
                <w:sz w:val="16"/>
                <w:szCs w:val="16"/>
                <w:lang w:bidi="ar"/>
                <w14:textFill>
                  <w14:solidFill>
                    <w14:schemeClr w14:val="tx1"/>
                  </w14:solidFill>
                </w14:textFill>
              </w:rPr>
              <w:t>盖章）：淮南市教体局  现有县（市、区）总数：10    填报人及联系方式：谢飞 0554-6656059</w:t>
            </w:r>
            <w:r>
              <w:rPr>
                <w:rFonts w:hint="eastAsia" w:ascii="宋体" w:hAnsi="宋体" w:eastAsia="宋体" w:cs="宋体"/>
                <w:b/>
                <w:color w:val="000000" w:themeColor="text1"/>
                <w:kern w:val="0"/>
                <w:sz w:val="16"/>
                <w:szCs w:val="16"/>
                <w:lang w:val="en-US" w:eastAsia="zh-CN" w:bidi="ar"/>
                <w14:textFill>
                  <w14:solidFill>
                    <w14:schemeClr w14:val="tx1"/>
                  </w14:solidFill>
                </w14:textFill>
              </w:rPr>
              <w:t xml:space="preserve"> </w:t>
            </w:r>
            <w:r>
              <w:rPr>
                <w:rFonts w:hint="eastAsia" w:ascii="宋体" w:hAnsi="宋体" w:eastAsia="宋体" w:cs="宋体"/>
                <w:b/>
                <w:color w:val="000000" w:themeColor="text1"/>
                <w:kern w:val="0"/>
                <w:sz w:val="16"/>
                <w:szCs w:val="16"/>
                <w:lang w:bidi="ar"/>
                <w14:textFill>
                  <w14:solidFill>
                    <w14:schemeClr w14:val="tx1"/>
                  </w14:solidFill>
                </w14:textFill>
              </w:rPr>
              <w:t xml:space="preserve">填报日期：2019年11月29日  </w:t>
            </w:r>
          </w:p>
        </w:tc>
      </w:tr>
      <w:tr>
        <w:tblPrEx>
          <w:tblCellMar>
            <w:top w:w="0" w:type="dxa"/>
            <w:left w:w="0" w:type="dxa"/>
            <w:bottom w:w="0" w:type="dxa"/>
            <w:right w:w="0" w:type="dxa"/>
          </w:tblCellMar>
        </w:tblPrEx>
        <w:trPr>
          <w:trHeight w:val="403" w:hRule="atLeast"/>
          <w:jc w:val="center"/>
        </w:trPr>
        <w:tc>
          <w:tcPr>
            <w:tcW w:w="2861" w:type="dxa"/>
            <w:gridSpan w:val="2"/>
            <w:vMerge w:val="restart"/>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6"/>
                <w:szCs w:val="16"/>
                <w14:textFill>
                  <w14:solidFill>
                    <w14:schemeClr w14:val="tx1"/>
                  </w14:solidFill>
                </w14:textFill>
              </w:rPr>
            </w:pPr>
            <w:r>
              <w:rPr>
                <w:rFonts w:hint="eastAsia" w:ascii="宋体" w:hAnsi="宋体" w:eastAsia="宋体" w:cs="宋体"/>
                <w:b/>
                <w:color w:val="000000" w:themeColor="text1"/>
                <w:kern w:val="0"/>
                <w:sz w:val="16"/>
                <w:szCs w:val="16"/>
                <w:lang w:bidi="ar"/>
                <w14:textFill>
                  <w14:solidFill>
                    <w14:schemeClr w14:val="tx1"/>
                  </w14:solidFill>
                </w14:textFill>
              </w:rPr>
              <w:t>类别</w:t>
            </w:r>
          </w:p>
        </w:tc>
        <w:tc>
          <w:tcPr>
            <w:tcW w:w="492"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6"/>
                <w:szCs w:val="16"/>
                <w14:textFill>
                  <w14:solidFill>
                    <w14:schemeClr w14:val="tx1"/>
                  </w14:solidFill>
                </w14:textFill>
              </w:rPr>
            </w:pPr>
            <w:r>
              <w:rPr>
                <w:rFonts w:hint="eastAsia" w:ascii="宋体" w:hAnsi="宋体" w:eastAsia="宋体" w:cs="宋体"/>
                <w:b/>
                <w:color w:val="000000" w:themeColor="text1"/>
                <w:kern w:val="0"/>
                <w:sz w:val="16"/>
                <w:szCs w:val="16"/>
                <w:lang w:bidi="ar"/>
                <w14:textFill>
                  <w14:solidFill>
                    <w14:schemeClr w14:val="tx1"/>
                  </w14:solidFill>
                </w14:textFill>
              </w:rPr>
              <w:t>序号</w:t>
            </w:r>
          </w:p>
        </w:tc>
        <w:tc>
          <w:tcPr>
            <w:tcW w:w="1970" w:type="dxa"/>
            <w:gridSpan w:val="2"/>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6"/>
                <w:szCs w:val="16"/>
                <w14:textFill>
                  <w14:solidFill>
                    <w14:schemeClr w14:val="tx1"/>
                  </w14:solidFill>
                </w14:textFill>
              </w:rPr>
            </w:pPr>
            <w:r>
              <w:rPr>
                <w:rFonts w:hint="eastAsia" w:ascii="宋体" w:hAnsi="宋体" w:eastAsia="宋体" w:cs="宋体"/>
                <w:b/>
                <w:color w:val="000000" w:themeColor="text1"/>
                <w:kern w:val="0"/>
                <w:sz w:val="16"/>
                <w:szCs w:val="16"/>
                <w:lang w:bidi="ar"/>
                <w14:textFill>
                  <w14:solidFill>
                    <w14:schemeClr w14:val="tx1"/>
                  </w14:solidFill>
                </w14:textFill>
              </w:rPr>
              <w:t>2019年</w:t>
            </w:r>
          </w:p>
        </w:tc>
        <w:tc>
          <w:tcPr>
            <w:tcW w:w="0" w:type="auto"/>
            <w:gridSpan w:val="2"/>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themeColor="text1"/>
                <w:sz w:val="16"/>
                <w:szCs w:val="16"/>
                <w14:textFill>
                  <w14:solidFill>
                    <w14:schemeClr w14:val="tx1"/>
                  </w14:solidFill>
                </w14:textFill>
              </w:rPr>
            </w:pPr>
            <w:r>
              <w:rPr>
                <w:rFonts w:hint="eastAsia" w:ascii="宋体" w:hAnsi="宋体" w:eastAsia="宋体" w:cs="宋体"/>
                <w:b/>
                <w:color w:val="000000" w:themeColor="text1"/>
                <w:kern w:val="0"/>
                <w:sz w:val="16"/>
                <w:szCs w:val="16"/>
                <w:lang w:bidi="ar"/>
                <w14:textFill>
                  <w14:solidFill>
                    <w14:schemeClr w14:val="tx1"/>
                  </w14:solidFill>
                </w14:textFill>
              </w:rPr>
              <w:t>2020年</w:t>
            </w:r>
          </w:p>
        </w:tc>
        <w:tc>
          <w:tcPr>
            <w:tcW w:w="0" w:type="auto"/>
            <w:gridSpan w:val="2"/>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themeColor="text1"/>
                <w:sz w:val="16"/>
                <w:szCs w:val="16"/>
                <w14:textFill>
                  <w14:solidFill>
                    <w14:schemeClr w14:val="tx1"/>
                  </w14:solidFill>
                </w14:textFill>
              </w:rPr>
            </w:pPr>
            <w:r>
              <w:rPr>
                <w:rFonts w:hint="eastAsia" w:ascii="宋体" w:hAnsi="宋体" w:eastAsia="宋体" w:cs="宋体"/>
                <w:b/>
                <w:color w:val="000000" w:themeColor="text1"/>
                <w:kern w:val="0"/>
                <w:sz w:val="16"/>
                <w:szCs w:val="16"/>
                <w:lang w:bidi="ar"/>
                <w14:textFill>
                  <w14:solidFill>
                    <w14:schemeClr w14:val="tx1"/>
                  </w14:solidFill>
                </w14:textFill>
              </w:rPr>
              <w:t>2021年</w:t>
            </w:r>
          </w:p>
        </w:tc>
        <w:tc>
          <w:tcPr>
            <w:tcW w:w="0" w:type="auto"/>
            <w:gridSpan w:val="2"/>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themeColor="text1"/>
                <w:sz w:val="16"/>
                <w:szCs w:val="16"/>
                <w14:textFill>
                  <w14:solidFill>
                    <w14:schemeClr w14:val="tx1"/>
                  </w14:solidFill>
                </w14:textFill>
              </w:rPr>
            </w:pPr>
            <w:r>
              <w:rPr>
                <w:rFonts w:hint="eastAsia" w:ascii="宋体" w:hAnsi="宋体" w:eastAsia="宋体" w:cs="宋体"/>
                <w:b/>
                <w:color w:val="000000" w:themeColor="text1"/>
                <w:kern w:val="0"/>
                <w:sz w:val="16"/>
                <w:szCs w:val="16"/>
                <w:lang w:bidi="ar"/>
                <w14:textFill>
                  <w14:solidFill>
                    <w14:schemeClr w14:val="tx1"/>
                  </w14:solidFill>
                </w14:textFill>
              </w:rPr>
              <w:t>2022年</w:t>
            </w:r>
          </w:p>
        </w:tc>
        <w:tc>
          <w:tcPr>
            <w:tcW w:w="0" w:type="auto"/>
            <w:gridSpan w:val="2"/>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themeColor="text1"/>
                <w:sz w:val="16"/>
                <w:szCs w:val="16"/>
                <w14:textFill>
                  <w14:solidFill>
                    <w14:schemeClr w14:val="tx1"/>
                  </w14:solidFill>
                </w14:textFill>
              </w:rPr>
            </w:pPr>
            <w:r>
              <w:rPr>
                <w:rFonts w:hint="eastAsia" w:ascii="宋体" w:hAnsi="宋体" w:eastAsia="宋体" w:cs="宋体"/>
                <w:b/>
                <w:color w:val="000000" w:themeColor="text1"/>
                <w:kern w:val="0"/>
                <w:sz w:val="16"/>
                <w:szCs w:val="16"/>
                <w:lang w:bidi="ar"/>
                <w14:textFill>
                  <w14:solidFill>
                    <w14:schemeClr w14:val="tx1"/>
                  </w14:solidFill>
                </w14:textFill>
              </w:rPr>
              <w:t>2023年</w:t>
            </w:r>
          </w:p>
        </w:tc>
      </w:tr>
      <w:tr>
        <w:tblPrEx>
          <w:tblCellMar>
            <w:top w:w="0" w:type="dxa"/>
            <w:left w:w="0" w:type="dxa"/>
            <w:bottom w:w="0" w:type="dxa"/>
            <w:right w:w="0" w:type="dxa"/>
          </w:tblCellMar>
        </w:tblPrEx>
        <w:trPr>
          <w:trHeight w:val="401" w:hRule="atLeast"/>
          <w:jc w:val="center"/>
        </w:trPr>
        <w:tc>
          <w:tcPr>
            <w:tcW w:w="2861"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themeColor="text1"/>
                <w:sz w:val="16"/>
                <w:szCs w:val="16"/>
                <w14:textFill>
                  <w14:solidFill>
                    <w14:schemeClr w14:val="tx1"/>
                  </w14:solidFill>
                </w14:textFill>
              </w:rPr>
            </w:pPr>
          </w:p>
        </w:tc>
        <w:tc>
          <w:tcPr>
            <w:tcW w:w="492"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themeColor="text1"/>
                <w:sz w:val="16"/>
                <w:szCs w:val="16"/>
                <w14:textFill>
                  <w14:solidFill>
                    <w14:schemeClr w14:val="tx1"/>
                  </w14:solidFill>
                </w14:textFill>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6"/>
                <w:szCs w:val="16"/>
                <w14:textFill>
                  <w14:solidFill>
                    <w14:schemeClr w14:val="tx1"/>
                  </w14:solidFill>
                </w14:textFill>
              </w:rPr>
            </w:pPr>
            <w:r>
              <w:rPr>
                <w:rFonts w:hint="eastAsia" w:ascii="宋体" w:hAnsi="宋体" w:eastAsia="宋体" w:cs="宋体"/>
                <w:b/>
                <w:color w:val="000000" w:themeColor="text1"/>
                <w:kern w:val="0"/>
                <w:sz w:val="16"/>
                <w:szCs w:val="16"/>
                <w:lang w:bidi="ar"/>
                <w14:textFill>
                  <w14:solidFill>
                    <w14:schemeClr w14:val="tx1"/>
                  </w14:solidFill>
                </w14:textFill>
              </w:rPr>
              <w:t>总计</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6"/>
                <w:szCs w:val="16"/>
                <w14:textFill>
                  <w14:solidFill>
                    <w14:schemeClr w14:val="tx1"/>
                  </w14:solidFill>
                </w14:textFill>
              </w:rPr>
            </w:pPr>
            <w:r>
              <w:rPr>
                <w:rFonts w:hint="eastAsia" w:ascii="宋体" w:hAnsi="宋体" w:eastAsia="宋体" w:cs="宋体"/>
                <w:b/>
                <w:color w:val="000000" w:themeColor="text1"/>
                <w:kern w:val="0"/>
                <w:sz w:val="16"/>
                <w:szCs w:val="16"/>
                <w:lang w:bidi="ar"/>
                <w14:textFill>
                  <w14:solidFill>
                    <w14:schemeClr w14:val="tx1"/>
                  </w14:solidFill>
                </w14:textFill>
              </w:rPr>
              <w:t>比例</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6"/>
                <w:szCs w:val="16"/>
                <w14:textFill>
                  <w14:solidFill>
                    <w14:schemeClr w14:val="tx1"/>
                  </w14:solidFill>
                </w14:textFill>
              </w:rPr>
            </w:pPr>
            <w:r>
              <w:rPr>
                <w:rFonts w:hint="eastAsia" w:ascii="宋体" w:hAnsi="宋体" w:eastAsia="宋体" w:cs="宋体"/>
                <w:b/>
                <w:color w:val="000000" w:themeColor="text1"/>
                <w:kern w:val="0"/>
                <w:sz w:val="16"/>
                <w:szCs w:val="16"/>
                <w:lang w:bidi="ar"/>
                <w14:textFill>
                  <w14:solidFill>
                    <w14:schemeClr w14:val="tx1"/>
                  </w14:solidFill>
                </w14:textFill>
              </w:rPr>
              <w:t>总计</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6"/>
                <w:szCs w:val="16"/>
                <w14:textFill>
                  <w14:solidFill>
                    <w14:schemeClr w14:val="tx1"/>
                  </w14:solidFill>
                </w14:textFill>
              </w:rPr>
            </w:pPr>
            <w:r>
              <w:rPr>
                <w:rFonts w:hint="eastAsia" w:ascii="宋体" w:hAnsi="宋体" w:eastAsia="宋体" w:cs="宋体"/>
                <w:b/>
                <w:color w:val="000000" w:themeColor="text1"/>
                <w:kern w:val="0"/>
                <w:sz w:val="16"/>
                <w:szCs w:val="16"/>
                <w:lang w:bidi="ar"/>
                <w14:textFill>
                  <w14:solidFill>
                    <w14:schemeClr w14:val="tx1"/>
                  </w14:solidFill>
                </w14:textFill>
              </w:rPr>
              <w:t>比例</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6"/>
                <w:szCs w:val="16"/>
                <w14:textFill>
                  <w14:solidFill>
                    <w14:schemeClr w14:val="tx1"/>
                  </w14:solidFill>
                </w14:textFill>
              </w:rPr>
            </w:pPr>
            <w:r>
              <w:rPr>
                <w:rFonts w:hint="eastAsia" w:ascii="宋体" w:hAnsi="宋体" w:eastAsia="宋体" w:cs="宋体"/>
                <w:b/>
                <w:color w:val="000000" w:themeColor="text1"/>
                <w:kern w:val="0"/>
                <w:sz w:val="16"/>
                <w:szCs w:val="16"/>
                <w:lang w:bidi="ar"/>
                <w14:textFill>
                  <w14:solidFill>
                    <w14:schemeClr w14:val="tx1"/>
                  </w14:solidFill>
                </w14:textFill>
              </w:rPr>
              <w:t>总计</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6"/>
                <w:szCs w:val="16"/>
                <w14:textFill>
                  <w14:solidFill>
                    <w14:schemeClr w14:val="tx1"/>
                  </w14:solidFill>
                </w14:textFill>
              </w:rPr>
            </w:pPr>
            <w:r>
              <w:rPr>
                <w:rFonts w:hint="eastAsia" w:ascii="宋体" w:hAnsi="宋体" w:eastAsia="宋体" w:cs="宋体"/>
                <w:b/>
                <w:color w:val="000000" w:themeColor="text1"/>
                <w:kern w:val="0"/>
                <w:sz w:val="16"/>
                <w:szCs w:val="16"/>
                <w:lang w:bidi="ar"/>
                <w14:textFill>
                  <w14:solidFill>
                    <w14:schemeClr w14:val="tx1"/>
                  </w14:solidFill>
                </w14:textFill>
              </w:rPr>
              <w:t>比例</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6"/>
                <w:szCs w:val="16"/>
                <w14:textFill>
                  <w14:solidFill>
                    <w14:schemeClr w14:val="tx1"/>
                  </w14:solidFill>
                </w14:textFill>
              </w:rPr>
            </w:pPr>
            <w:r>
              <w:rPr>
                <w:rFonts w:hint="eastAsia" w:ascii="宋体" w:hAnsi="宋体" w:eastAsia="宋体" w:cs="宋体"/>
                <w:b/>
                <w:color w:val="000000" w:themeColor="text1"/>
                <w:kern w:val="0"/>
                <w:sz w:val="16"/>
                <w:szCs w:val="16"/>
                <w:lang w:bidi="ar"/>
                <w14:textFill>
                  <w14:solidFill>
                    <w14:schemeClr w14:val="tx1"/>
                  </w14:solidFill>
                </w14:textFill>
              </w:rPr>
              <w:t>总计</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6"/>
                <w:szCs w:val="16"/>
                <w14:textFill>
                  <w14:solidFill>
                    <w14:schemeClr w14:val="tx1"/>
                  </w14:solidFill>
                </w14:textFill>
              </w:rPr>
            </w:pPr>
            <w:r>
              <w:rPr>
                <w:rFonts w:hint="eastAsia" w:ascii="宋体" w:hAnsi="宋体" w:eastAsia="宋体" w:cs="宋体"/>
                <w:b/>
                <w:color w:val="000000" w:themeColor="text1"/>
                <w:kern w:val="0"/>
                <w:sz w:val="16"/>
                <w:szCs w:val="16"/>
                <w:lang w:bidi="ar"/>
                <w14:textFill>
                  <w14:solidFill>
                    <w14:schemeClr w14:val="tx1"/>
                  </w14:solidFill>
                </w14:textFill>
              </w:rPr>
              <w:t>比例</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6"/>
                <w:szCs w:val="16"/>
                <w14:textFill>
                  <w14:solidFill>
                    <w14:schemeClr w14:val="tx1"/>
                  </w14:solidFill>
                </w14:textFill>
              </w:rPr>
            </w:pPr>
            <w:r>
              <w:rPr>
                <w:rFonts w:hint="eastAsia" w:ascii="宋体" w:hAnsi="宋体" w:eastAsia="宋体" w:cs="宋体"/>
                <w:b/>
                <w:color w:val="000000" w:themeColor="text1"/>
                <w:kern w:val="0"/>
                <w:sz w:val="16"/>
                <w:szCs w:val="16"/>
                <w:lang w:bidi="ar"/>
                <w14:textFill>
                  <w14:solidFill>
                    <w14:schemeClr w14:val="tx1"/>
                  </w14:solidFill>
                </w14:textFill>
              </w:rPr>
              <w:t>总计</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6"/>
                <w:szCs w:val="16"/>
                <w14:textFill>
                  <w14:solidFill>
                    <w14:schemeClr w14:val="tx1"/>
                  </w14:solidFill>
                </w14:textFill>
              </w:rPr>
            </w:pPr>
            <w:r>
              <w:rPr>
                <w:rFonts w:hint="eastAsia" w:ascii="宋体" w:hAnsi="宋体" w:eastAsia="宋体" w:cs="宋体"/>
                <w:b/>
                <w:color w:val="000000" w:themeColor="text1"/>
                <w:kern w:val="0"/>
                <w:sz w:val="16"/>
                <w:szCs w:val="16"/>
                <w:lang w:bidi="ar"/>
                <w14:textFill>
                  <w14:solidFill>
                    <w14:schemeClr w14:val="tx1"/>
                  </w14:solidFill>
                </w14:textFill>
              </w:rPr>
              <w:t>比例</w:t>
            </w:r>
          </w:p>
        </w:tc>
      </w:tr>
      <w:tr>
        <w:tblPrEx>
          <w:tblCellMar>
            <w:top w:w="0" w:type="dxa"/>
            <w:left w:w="0" w:type="dxa"/>
            <w:bottom w:w="0" w:type="dxa"/>
            <w:right w:w="0" w:type="dxa"/>
          </w:tblCellMar>
        </w:tblPrEx>
        <w:trPr>
          <w:trHeight w:val="401" w:hRule="atLeast"/>
          <w:jc w:val="center"/>
        </w:trPr>
        <w:tc>
          <w:tcPr>
            <w:tcW w:w="2861"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themeColor="text1"/>
                <w:sz w:val="16"/>
                <w:szCs w:val="16"/>
                <w14:textFill>
                  <w14:solidFill>
                    <w14:schemeClr w14:val="tx1"/>
                  </w14:solidFill>
                </w14:textFill>
              </w:rPr>
            </w:pPr>
          </w:p>
        </w:tc>
        <w:tc>
          <w:tcPr>
            <w:tcW w:w="492"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themeColor="text1"/>
                <w:sz w:val="16"/>
                <w:szCs w:val="16"/>
                <w14:textFill>
                  <w14:solidFill>
                    <w14:schemeClr w14:val="tx1"/>
                  </w14:solidFill>
                </w14:textFill>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6"/>
                <w:szCs w:val="16"/>
                <w14:textFill>
                  <w14:solidFill>
                    <w14:schemeClr w14:val="tx1"/>
                  </w14:solidFill>
                </w14:textFill>
              </w:rPr>
            </w:pPr>
            <w:r>
              <w:rPr>
                <w:rFonts w:hint="eastAsia" w:ascii="宋体" w:hAnsi="宋体" w:eastAsia="宋体" w:cs="宋体"/>
                <w:b/>
                <w:color w:val="000000" w:themeColor="text1"/>
                <w:kern w:val="0"/>
                <w:sz w:val="16"/>
                <w:szCs w:val="16"/>
                <w:lang w:bidi="ar"/>
                <w14:textFill>
                  <w14:solidFill>
                    <w14:schemeClr w14:val="tx1"/>
                  </w14:solidFill>
                </w14:textFill>
              </w:rPr>
              <w:t>A</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6"/>
                <w:szCs w:val="16"/>
                <w14:textFill>
                  <w14:solidFill>
                    <w14:schemeClr w14:val="tx1"/>
                  </w14:solidFill>
                </w14:textFill>
              </w:rPr>
            </w:pPr>
            <w:r>
              <w:rPr>
                <w:rFonts w:hint="eastAsia" w:ascii="宋体" w:hAnsi="宋体" w:eastAsia="宋体" w:cs="宋体"/>
                <w:b/>
                <w:color w:val="000000" w:themeColor="text1"/>
                <w:kern w:val="0"/>
                <w:sz w:val="16"/>
                <w:szCs w:val="16"/>
                <w:lang w:bidi="ar"/>
                <w14:textFill>
                  <w14:solidFill>
                    <w14:schemeClr w14:val="tx1"/>
                  </w14:solidFill>
                </w14:textFill>
              </w:rPr>
              <w:t>B</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6"/>
                <w:szCs w:val="16"/>
                <w14:textFill>
                  <w14:solidFill>
                    <w14:schemeClr w14:val="tx1"/>
                  </w14:solidFill>
                </w14:textFill>
              </w:rPr>
            </w:pPr>
            <w:r>
              <w:rPr>
                <w:rFonts w:hint="eastAsia" w:ascii="宋体" w:hAnsi="宋体" w:eastAsia="宋体" w:cs="宋体"/>
                <w:b/>
                <w:color w:val="000000" w:themeColor="text1"/>
                <w:kern w:val="0"/>
                <w:sz w:val="16"/>
                <w:szCs w:val="16"/>
                <w:lang w:bidi="ar"/>
                <w14:textFill>
                  <w14:solidFill>
                    <w14:schemeClr w14:val="tx1"/>
                  </w14:solidFill>
                </w14:textFill>
              </w:rPr>
              <w:t>C</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6"/>
                <w:szCs w:val="16"/>
                <w14:textFill>
                  <w14:solidFill>
                    <w14:schemeClr w14:val="tx1"/>
                  </w14:solidFill>
                </w14:textFill>
              </w:rPr>
            </w:pPr>
            <w:r>
              <w:rPr>
                <w:rFonts w:hint="eastAsia" w:ascii="宋体" w:hAnsi="宋体" w:eastAsia="宋体" w:cs="宋体"/>
                <w:b/>
                <w:color w:val="000000" w:themeColor="text1"/>
                <w:kern w:val="0"/>
                <w:sz w:val="16"/>
                <w:szCs w:val="16"/>
                <w:lang w:bidi="ar"/>
                <w14:textFill>
                  <w14:solidFill>
                    <w14:schemeClr w14:val="tx1"/>
                  </w14:solidFill>
                </w14:textFill>
              </w:rPr>
              <w:t>D</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6"/>
                <w:szCs w:val="16"/>
                <w14:textFill>
                  <w14:solidFill>
                    <w14:schemeClr w14:val="tx1"/>
                  </w14:solidFill>
                </w14:textFill>
              </w:rPr>
            </w:pPr>
            <w:r>
              <w:rPr>
                <w:rFonts w:hint="eastAsia" w:ascii="宋体" w:hAnsi="宋体" w:eastAsia="宋体" w:cs="宋体"/>
                <w:b/>
                <w:color w:val="000000" w:themeColor="text1"/>
                <w:kern w:val="0"/>
                <w:sz w:val="16"/>
                <w:szCs w:val="16"/>
                <w:lang w:bidi="ar"/>
                <w14:textFill>
                  <w14:solidFill>
                    <w14:schemeClr w14:val="tx1"/>
                  </w14:solidFill>
                </w14:textFill>
              </w:rPr>
              <w:t>E</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6"/>
                <w:szCs w:val="16"/>
                <w14:textFill>
                  <w14:solidFill>
                    <w14:schemeClr w14:val="tx1"/>
                  </w14:solidFill>
                </w14:textFill>
              </w:rPr>
            </w:pPr>
            <w:r>
              <w:rPr>
                <w:rFonts w:hint="eastAsia" w:ascii="宋体" w:hAnsi="宋体" w:eastAsia="宋体" w:cs="宋体"/>
                <w:b/>
                <w:color w:val="000000" w:themeColor="text1"/>
                <w:kern w:val="0"/>
                <w:sz w:val="16"/>
                <w:szCs w:val="16"/>
                <w:lang w:bidi="ar"/>
                <w14:textFill>
                  <w14:solidFill>
                    <w14:schemeClr w14:val="tx1"/>
                  </w14:solidFill>
                </w14:textFill>
              </w:rPr>
              <w:t>F</w:t>
            </w:r>
          </w:p>
        </w:tc>
        <w:tc>
          <w:tcPr>
            <w:tcW w:w="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6"/>
                <w:szCs w:val="16"/>
                <w14:textFill>
                  <w14:solidFill>
                    <w14:schemeClr w14:val="tx1"/>
                  </w14:solidFill>
                </w14:textFill>
              </w:rPr>
            </w:pPr>
            <w:r>
              <w:rPr>
                <w:rFonts w:hint="eastAsia" w:ascii="宋体" w:hAnsi="宋体" w:eastAsia="宋体" w:cs="宋体"/>
                <w:b/>
                <w:color w:val="000000" w:themeColor="text1"/>
                <w:kern w:val="0"/>
                <w:sz w:val="16"/>
                <w:szCs w:val="16"/>
                <w:lang w:bidi="ar"/>
                <w14:textFill>
                  <w14:solidFill>
                    <w14:schemeClr w14:val="tx1"/>
                  </w14:solidFill>
                </w14:textFill>
              </w:rPr>
              <w:t>G</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6"/>
                <w:szCs w:val="16"/>
                <w14:textFill>
                  <w14:solidFill>
                    <w14:schemeClr w14:val="tx1"/>
                  </w14:solidFill>
                </w14:textFill>
              </w:rPr>
            </w:pPr>
            <w:r>
              <w:rPr>
                <w:rFonts w:hint="eastAsia" w:ascii="宋体" w:hAnsi="宋体" w:eastAsia="宋体" w:cs="宋体"/>
                <w:b/>
                <w:color w:val="000000" w:themeColor="text1"/>
                <w:kern w:val="0"/>
                <w:sz w:val="16"/>
                <w:szCs w:val="16"/>
                <w:lang w:bidi="ar"/>
                <w14:textFill>
                  <w14:solidFill>
                    <w14:schemeClr w14:val="tx1"/>
                  </w14:solidFill>
                </w14:textFill>
              </w:rPr>
              <w:t>H</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6"/>
                <w:szCs w:val="16"/>
                <w14:textFill>
                  <w14:solidFill>
                    <w14:schemeClr w14:val="tx1"/>
                  </w14:solidFill>
                </w14:textFill>
              </w:rPr>
            </w:pPr>
            <w:r>
              <w:rPr>
                <w:rFonts w:hint="eastAsia" w:ascii="宋体" w:hAnsi="宋体" w:eastAsia="宋体" w:cs="宋体"/>
                <w:b/>
                <w:color w:val="000000" w:themeColor="text1"/>
                <w:kern w:val="0"/>
                <w:sz w:val="16"/>
                <w:szCs w:val="16"/>
                <w:lang w:bidi="ar"/>
                <w14:textFill>
                  <w14:solidFill>
                    <w14:schemeClr w14:val="tx1"/>
                  </w14:solidFill>
                </w14:textFill>
              </w:rPr>
              <w:t>I</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16"/>
                <w:szCs w:val="16"/>
                <w14:textFill>
                  <w14:solidFill>
                    <w14:schemeClr w14:val="tx1"/>
                  </w14:solidFill>
                </w14:textFill>
              </w:rPr>
            </w:pPr>
            <w:r>
              <w:rPr>
                <w:rFonts w:hint="eastAsia" w:ascii="宋体" w:hAnsi="宋体" w:eastAsia="宋体" w:cs="宋体"/>
                <w:b/>
                <w:color w:val="000000" w:themeColor="text1"/>
                <w:kern w:val="0"/>
                <w:sz w:val="16"/>
                <w:szCs w:val="16"/>
                <w:lang w:bidi="ar"/>
                <w14:textFill>
                  <w14:solidFill>
                    <w14:schemeClr w14:val="tx1"/>
                  </w14:solidFill>
                </w14:textFill>
              </w:rPr>
              <w:t>J</w:t>
            </w:r>
          </w:p>
        </w:tc>
      </w:tr>
      <w:tr>
        <w:tblPrEx>
          <w:tblCellMar>
            <w:top w:w="0" w:type="dxa"/>
            <w:left w:w="0" w:type="dxa"/>
            <w:bottom w:w="0" w:type="dxa"/>
            <w:right w:w="0" w:type="dxa"/>
          </w:tblCellMar>
        </w:tblPrEx>
        <w:trPr>
          <w:trHeight w:val="392" w:hRule="atLeast"/>
          <w:jc w:val="center"/>
        </w:trPr>
        <w:tc>
          <w:tcPr>
            <w:tcW w:w="1923"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学校数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城区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w:t>
            </w:r>
          </w:p>
        </w:tc>
      </w:tr>
      <w:tr>
        <w:tblPrEx>
          <w:tblCellMar>
            <w:top w:w="0" w:type="dxa"/>
            <w:left w:w="0" w:type="dxa"/>
            <w:bottom w:w="0" w:type="dxa"/>
            <w:right w:w="0" w:type="dxa"/>
          </w:tblCellMar>
        </w:tblPrEx>
        <w:trPr>
          <w:trHeight w:val="392" w:hRule="atLeast"/>
          <w:jc w:val="center"/>
        </w:trPr>
        <w:tc>
          <w:tcPr>
            <w:tcW w:w="1923"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镇区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w:t>
            </w:r>
          </w:p>
        </w:tc>
      </w:tr>
      <w:tr>
        <w:tblPrEx>
          <w:tblCellMar>
            <w:top w:w="0" w:type="dxa"/>
            <w:left w:w="0" w:type="dxa"/>
            <w:bottom w:w="0" w:type="dxa"/>
            <w:right w:w="0" w:type="dxa"/>
          </w:tblCellMar>
        </w:tblPrEx>
        <w:trPr>
          <w:trHeight w:val="392" w:hRule="atLeast"/>
          <w:jc w:val="center"/>
        </w:trPr>
        <w:tc>
          <w:tcPr>
            <w:tcW w:w="1923"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乡村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w:t>
            </w:r>
          </w:p>
        </w:tc>
      </w:tr>
      <w:tr>
        <w:tblPrEx>
          <w:tblCellMar>
            <w:top w:w="0" w:type="dxa"/>
            <w:left w:w="0" w:type="dxa"/>
            <w:bottom w:w="0" w:type="dxa"/>
            <w:right w:w="0" w:type="dxa"/>
          </w:tblCellMar>
        </w:tblPrEx>
        <w:trPr>
          <w:trHeight w:val="392" w:hRule="atLeast"/>
          <w:jc w:val="center"/>
        </w:trPr>
        <w:tc>
          <w:tcPr>
            <w:tcW w:w="1923"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班级数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城区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w:t>
            </w:r>
          </w:p>
        </w:tc>
      </w:tr>
      <w:tr>
        <w:tblPrEx>
          <w:tblCellMar>
            <w:top w:w="0" w:type="dxa"/>
            <w:left w:w="0" w:type="dxa"/>
            <w:bottom w:w="0" w:type="dxa"/>
            <w:right w:w="0" w:type="dxa"/>
          </w:tblCellMar>
        </w:tblPrEx>
        <w:trPr>
          <w:trHeight w:val="392" w:hRule="atLeast"/>
          <w:jc w:val="center"/>
        </w:trPr>
        <w:tc>
          <w:tcPr>
            <w:tcW w:w="1923"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镇区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w:t>
            </w:r>
          </w:p>
        </w:tc>
      </w:tr>
      <w:tr>
        <w:tblPrEx>
          <w:tblCellMar>
            <w:top w:w="0" w:type="dxa"/>
            <w:left w:w="0" w:type="dxa"/>
            <w:bottom w:w="0" w:type="dxa"/>
            <w:right w:w="0" w:type="dxa"/>
          </w:tblCellMar>
        </w:tblPrEx>
        <w:trPr>
          <w:trHeight w:val="392" w:hRule="atLeast"/>
          <w:jc w:val="center"/>
        </w:trPr>
        <w:tc>
          <w:tcPr>
            <w:tcW w:w="1923"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乡村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w:t>
            </w:r>
          </w:p>
        </w:tc>
      </w:tr>
      <w:tr>
        <w:tblPrEx>
          <w:tblCellMar>
            <w:top w:w="0" w:type="dxa"/>
            <w:left w:w="0" w:type="dxa"/>
            <w:bottom w:w="0" w:type="dxa"/>
            <w:right w:w="0" w:type="dxa"/>
          </w:tblCellMar>
        </w:tblPrEx>
        <w:trPr>
          <w:trHeight w:val="392" w:hRule="atLeast"/>
          <w:jc w:val="center"/>
        </w:trPr>
        <w:tc>
          <w:tcPr>
            <w:tcW w:w="1923"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56人及以上大班额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城区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0.00%</w:t>
            </w:r>
          </w:p>
        </w:tc>
      </w:tr>
      <w:tr>
        <w:tblPrEx>
          <w:tblCellMar>
            <w:top w:w="0" w:type="dxa"/>
            <w:left w:w="0" w:type="dxa"/>
            <w:bottom w:w="0" w:type="dxa"/>
            <w:right w:w="0" w:type="dxa"/>
          </w:tblCellMar>
        </w:tblPrEx>
        <w:trPr>
          <w:trHeight w:val="392" w:hRule="atLeast"/>
          <w:jc w:val="center"/>
        </w:trPr>
        <w:tc>
          <w:tcPr>
            <w:tcW w:w="1923"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镇区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0.00%</w:t>
            </w:r>
          </w:p>
        </w:tc>
      </w:tr>
      <w:tr>
        <w:tblPrEx>
          <w:tblCellMar>
            <w:top w:w="0" w:type="dxa"/>
            <w:left w:w="0" w:type="dxa"/>
            <w:bottom w:w="0" w:type="dxa"/>
            <w:right w:w="0" w:type="dxa"/>
          </w:tblCellMar>
        </w:tblPrEx>
        <w:trPr>
          <w:trHeight w:val="392" w:hRule="atLeast"/>
          <w:jc w:val="center"/>
        </w:trPr>
        <w:tc>
          <w:tcPr>
            <w:tcW w:w="1923"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乡村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0.00%</w:t>
            </w:r>
          </w:p>
        </w:tc>
      </w:tr>
      <w:tr>
        <w:tblPrEx>
          <w:tblCellMar>
            <w:top w:w="0" w:type="dxa"/>
            <w:left w:w="0" w:type="dxa"/>
            <w:bottom w:w="0" w:type="dxa"/>
            <w:right w:w="0" w:type="dxa"/>
          </w:tblCellMar>
        </w:tblPrEx>
        <w:trPr>
          <w:trHeight w:val="392" w:hRule="atLeast"/>
          <w:jc w:val="center"/>
        </w:trPr>
        <w:tc>
          <w:tcPr>
            <w:tcW w:w="1923" w:type="dxa"/>
            <w:vMerge w:val="restart"/>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66人及以上超大班额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城区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0.00%</w:t>
            </w:r>
          </w:p>
        </w:tc>
      </w:tr>
      <w:tr>
        <w:tblPrEx>
          <w:tblCellMar>
            <w:top w:w="0" w:type="dxa"/>
            <w:left w:w="0" w:type="dxa"/>
            <w:bottom w:w="0" w:type="dxa"/>
            <w:right w:w="0" w:type="dxa"/>
          </w:tblCellMar>
        </w:tblPrEx>
        <w:trPr>
          <w:trHeight w:val="401" w:hRule="atLeast"/>
          <w:jc w:val="center"/>
        </w:trPr>
        <w:tc>
          <w:tcPr>
            <w:tcW w:w="1923" w:type="dxa"/>
            <w:vMerge w:val="continue"/>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镇区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0.00%</w:t>
            </w:r>
          </w:p>
        </w:tc>
      </w:tr>
      <w:tr>
        <w:tblPrEx>
          <w:tblCellMar>
            <w:top w:w="0" w:type="dxa"/>
            <w:left w:w="0" w:type="dxa"/>
            <w:bottom w:w="0" w:type="dxa"/>
            <w:right w:w="0" w:type="dxa"/>
          </w:tblCellMar>
        </w:tblPrEx>
        <w:trPr>
          <w:trHeight w:val="401" w:hRule="atLeast"/>
          <w:jc w:val="center"/>
        </w:trPr>
        <w:tc>
          <w:tcPr>
            <w:tcW w:w="1923" w:type="dxa"/>
            <w:vMerge w:val="continue"/>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0" w:type="auto"/>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乡村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0.00%</w:t>
            </w:r>
          </w:p>
        </w:tc>
      </w:tr>
      <w:tr>
        <w:tblPrEx>
          <w:tblCellMar>
            <w:top w:w="0" w:type="dxa"/>
            <w:left w:w="0" w:type="dxa"/>
            <w:bottom w:w="0" w:type="dxa"/>
            <w:right w:w="0" w:type="dxa"/>
          </w:tblCellMar>
        </w:tblPrEx>
        <w:trPr>
          <w:trHeight w:val="1276" w:hRule="atLeast"/>
          <w:jc w:val="center"/>
        </w:trPr>
        <w:tc>
          <w:tcPr>
            <w:tcW w:w="14474" w:type="dxa"/>
            <w:gridSpan w:val="13"/>
            <w:tcBorders>
              <w:top w:val="single" w:color="000000" w:sz="8" w:space="0"/>
              <w:left w:val="nil"/>
              <w:bottom w:val="nil"/>
              <w:right w:val="nil"/>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16"/>
                <w:szCs w:val="16"/>
                <w:lang w:bidi="ar"/>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说明：1.此表由各市根据附件1进行汇总填写。2019年填写现有实数，2019-2023年根据预测填写规划数，划</w:t>
            </w:r>
            <w:r>
              <w:rPr>
                <w:rFonts w:hint="eastAsia" w:ascii="宋体" w:hAnsi="宋体" w:eastAsia="宋体" w:cs="宋体"/>
                <w:color w:val="000000" w:themeColor="text1"/>
                <w:kern w:val="0"/>
                <w:sz w:val="16"/>
                <w:szCs w:val="16"/>
                <w:lang w:eastAsia="zh-CN" w:bidi="ar"/>
                <w14:textFill>
                  <w14:solidFill>
                    <w14:schemeClr w14:val="tx1"/>
                  </w14:solidFill>
                </w14:textFill>
              </w:rPr>
              <w:t>“</w:t>
            </w:r>
            <w:r>
              <w:rPr>
                <w:rFonts w:hint="eastAsia" w:ascii="宋体" w:hAnsi="宋体" w:eastAsia="宋体" w:cs="宋体"/>
                <w:color w:val="000000" w:themeColor="text1"/>
                <w:kern w:val="0"/>
                <w:sz w:val="16"/>
                <w:szCs w:val="16"/>
                <w:lang w:bidi="ar"/>
                <w14:textFill>
                  <w14:solidFill>
                    <w14:schemeClr w14:val="tx1"/>
                  </w14:solidFill>
                </w14:textFill>
              </w:rPr>
              <w:t>-</w:t>
            </w:r>
            <w:r>
              <w:rPr>
                <w:rFonts w:hint="eastAsia" w:ascii="宋体" w:hAnsi="宋体" w:eastAsia="宋体" w:cs="宋体"/>
                <w:color w:val="000000" w:themeColor="text1"/>
                <w:kern w:val="0"/>
                <w:sz w:val="16"/>
                <w:szCs w:val="16"/>
                <w:lang w:eastAsia="zh-CN" w:bidi="ar"/>
                <w14:textFill>
                  <w14:solidFill>
                    <w14:schemeClr w14:val="tx1"/>
                  </w14:solidFill>
                </w14:textFill>
              </w:rPr>
              <w:t>”</w:t>
            </w:r>
            <w:r>
              <w:rPr>
                <w:rFonts w:hint="eastAsia" w:ascii="宋体" w:hAnsi="宋体" w:eastAsia="宋体" w:cs="宋体"/>
                <w:color w:val="000000" w:themeColor="text1"/>
                <w:kern w:val="0"/>
                <w:sz w:val="16"/>
                <w:szCs w:val="16"/>
                <w:lang w:bidi="ar"/>
                <w14:textFill>
                  <w14:solidFill>
                    <w14:schemeClr w14:val="tx1"/>
                  </w14:solidFill>
                </w14:textFill>
              </w:rPr>
              <w:t>的表格不用填写。</w:t>
            </w:r>
          </w:p>
          <w:p>
            <w:pPr>
              <w:widowControl/>
              <w:ind w:firstLine="480" w:firstLineChars="300"/>
              <w:jc w:val="lef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2.校验关系：B7=A7/A4（即城区56人及以上大班额比例=城区56人及以上大班额数/城区班级数），其他部分同理。</w:t>
            </w:r>
          </w:p>
        </w:tc>
      </w:tr>
    </w:tbl>
    <w:p>
      <w:pPr>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br w:type="page"/>
      </w:r>
    </w:p>
    <w:tbl>
      <w:tblPr>
        <w:tblStyle w:val="7"/>
        <w:tblW w:w="14596" w:type="dxa"/>
        <w:jc w:val="center"/>
        <w:tblLayout w:type="autofit"/>
        <w:tblCellMar>
          <w:top w:w="0" w:type="dxa"/>
          <w:left w:w="0" w:type="dxa"/>
          <w:bottom w:w="0" w:type="dxa"/>
          <w:right w:w="0" w:type="dxa"/>
        </w:tblCellMar>
      </w:tblPr>
      <w:tblGrid>
        <w:gridCol w:w="753"/>
        <w:gridCol w:w="926"/>
        <w:gridCol w:w="1705"/>
        <w:gridCol w:w="1309"/>
        <w:gridCol w:w="1704"/>
        <w:gridCol w:w="951"/>
        <w:gridCol w:w="1704"/>
        <w:gridCol w:w="1148"/>
        <w:gridCol w:w="1704"/>
        <w:gridCol w:w="988"/>
        <w:gridCol w:w="1704"/>
      </w:tblGrid>
      <w:tr>
        <w:tblPrEx>
          <w:tblCellMar>
            <w:top w:w="0" w:type="dxa"/>
            <w:left w:w="0" w:type="dxa"/>
            <w:bottom w:w="0" w:type="dxa"/>
            <w:right w:w="0" w:type="dxa"/>
          </w:tblCellMar>
        </w:tblPrEx>
        <w:trPr>
          <w:trHeight w:val="322" w:hRule="atLeast"/>
          <w:jc w:val="center"/>
        </w:trPr>
        <w:tc>
          <w:tcPr>
            <w:tcW w:w="14596" w:type="dxa"/>
            <w:gridSpan w:val="11"/>
            <w:tcBorders>
              <w:top w:val="nil"/>
              <w:left w:val="nil"/>
              <w:bottom w:val="nil"/>
              <w:right w:val="nil"/>
            </w:tcBorders>
            <w:shd w:val="clear" w:color="auto" w:fill="auto"/>
            <w:tcMar>
              <w:top w:w="15" w:type="dxa"/>
              <w:left w:w="15" w:type="dxa"/>
              <w:right w:w="15" w:type="dxa"/>
            </w:tcMar>
            <w:vAlign w:val="center"/>
          </w:tcPr>
          <w:p>
            <w:pPr>
              <w:jc w:val="left"/>
              <w:rPr>
                <w:rFonts w:ascii="宋体" w:hAnsi="宋体" w:eastAsia="宋体" w:cs="宋体"/>
                <w:color w:val="000000" w:themeColor="text1"/>
                <w:sz w:val="22"/>
                <w:szCs w:val="22"/>
                <w14:textFill>
                  <w14:solidFill>
                    <w14:schemeClr w14:val="tx1"/>
                  </w14:solidFill>
                </w14:textFill>
              </w:rPr>
            </w:pPr>
            <w:r>
              <w:rPr>
                <w:rFonts w:hint="eastAsia" w:ascii="方正黑体_GBK" w:hAnsi="方正黑体_GBK" w:eastAsia="方正黑体_GBK" w:cs="方正黑体_GBK"/>
                <w:color w:val="000000" w:themeColor="text1"/>
                <w:kern w:val="0"/>
                <w:sz w:val="32"/>
                <w:szCs w:val="32"/>
                <w:lang w:bidi="ar"/>
                <w14:textFill>
                  <w14:solidFill>
                    <w14:schemeClr w14:val="tx1"/>
                  </w14:solidFill>
                </w14:textFill>
              </w:rPr>
              <w:t>附件3</w:t>
            </w:r>
          </w:p>
        </w:tc>
      </w:tr>
      <w:tr>
        <w:tblPrEx>
          <w:tblCellMar>
            <w:top w:w="0" w:type="dxa"/>
            <w:left w:w="0" w:type="dxa"/>
            <w:bottom w:w="0" w:type="dxa"/>
            <w:right w:w="0" w:type="dxa"/>
          </w:tblCellMar>
        </w:tblPrEx>
        <w:trPr>
          <w:trHeight w:val="629" w:hRule="atLeast"/>
          <w:jc w:val="center"/>
        </w:trPr>
        <w:tc>
          <w:tcPr>
            <w:tcW w:w="14596" w:type="dxa"/>
            <w:gridSpan w:val="11"/>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简体" w:hAnsi="方正小标宋简体" w:eastAsia="方正小标宋简体" w:cs="方正小标宋简体"/>
                <w:color w:val="000000" w:themeColor="text1"/>
                <w:sz w:val="22"/>
                <w:szCs w:val="22"/>
                <w14:textFill>
                  <w14:solidFill>
                    <w14:schemeClr w14:val="tx1"/>
                  </w14:solidFill>
                </w14:textFill>
              </w:rPr>
            </w:pPr>
            <w:r>
              <w:rPr>
                <w:rFonts w:hint="eastAsia" w:ascii="方正小标宋_GBK" w:hAnsi="方正小标宋_GBK" w:eastAsia="方正小标宋_GBK" w:cs="方正小标宋_GBK"/>
                <w:kern w:val="0"/>
                <w:sz w:val="44"/>
                <w:szCs w:val="44"/>
                <w:shd w:val="clear" w:color="auto" w:fill="FFFFFF"/>
                <w:lang w:val="en-US" w:eastAsia="zh-CN" w:bidi="ar-SA"/>
              </w:rPr>
              <w:t>淮南市分县（市、区）消除普通高中大班额规划进度表</w:t>
            </w:r>
          </w:p>
        </w:tc>
      </w:tr>
      <w:tr>
        <w:tblPrEx>
          <w:tblCellMar>
            <w:top w:w="0" w:type="dxa"/>
            <w:left w:w="0" w:type="dxa"/>
            <w:bottom w:w="0" w:type="dxa"/>
            <w:right w:w="0" w:type="dxa"/>
          </w:tblCellMar>
        </w:tblPrEx>
        <w:trPr>
          <w:trHeight w:val="564" w:hRule="atLeast"/>
          <w:jc w:val="center"/>
        </w:trPr>
        <w:tc>
          <w:tcPr>
            <w:tcW w:w="14596" w:type="dxa"/>
            <w:gridSpan w:val="11"/>
            <w:tcBorders>
              <w:top w:val="nil"/>
              <w:left w:val="nil"/>
              <w:bottom w:val="single" w:color="000000" w:sz="8" w:space="0"/>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b/>
                <w:bCs/>
                <w:color w:val="000000" w:themeColor="text1"/>
                <w:kern w:val="0"/>
                <w:sz w:val="16"/>
                <w:szCs w:val="16"/>
                <w:lang w:bidi="ar"/>
                <w14:textFill>
                  <w14:solidFill>
                    <w14:schemeClr w14:val="tx1"/>
                  </w14:solidFill>
                </w14:textFill>
              </w:rPr>
              <w:t>填报单位</w:t>
            </w:r>
            <w:r>
              <w:rPr>
                <w:rFonts w:hint="eastAsia" w:ascii="宋体" w:hAnsi="宋体" w:eastAsia="宋体" w:cs="宋体"/>
                <w:b/>
                <w:bCs/>
                <w:color w:val="000000" w:themeColor="text1"/>
                <w:kern w:val="0"/>
                <w:sz w:val="16"/>
                <w:szCs w:val="16"/>
                <w:lang w:eastAsia="zh-CN" w:bidi="ar"/>
                <w14:textFill>
                  <w14:solidFill>
                    <w14:schemeClr w14:val="tx1"/>
                  </w14:solidFill>
                </w14:textFill>
              </w:rPr>
              <w:t>（</w:t>
            </w:r>
            <w:r>
              <w:rPr>
                <w:rFonts w:hint="eastAsia" w:ascii="宋体" w:hAnsi="宋体" w:eastAsia="宋体" w:cs="宋体"/>
                <w:b/>
                <w:bCs/>
                <w:color w:val="000000" w:themeColor="text1"/>
                <w:kern w:val="0"/>
                <w:sz w:val="16"/>
                <w:szCs w:val="16"/>
                <w:lang w:bidi="ar"/>
                <w14:textFill>
                  <w14:solidFill>
                    <w14:schemeClr w14:val="tx1"/>
                  </w14:solidFill>
                </w14:textFill>
              </w:rPr>
              <w:t>盖章）：淮南市教体局   现有县（市、区）总数：10    填报人及联系方式：谢飞</w:t>
            </w:r>
            <w:r>
              <w:rPr>
                <w:rFonts w:hint="eastAsia" w:ascii="宋体" w:hAnsi="宋体" w:eastAsia="宋体" w:cs="宋体"/>
                <w:b/>
                <w:bCs/>
                <w:color w:val="000000" w:themeColor="text1"/>
                <w:kern w:val="0"/>
                <w:sz w:val="16"/>
                <w:szCs w:val="16"/>
                <w:lang w:val="en-US" w:eastAsia="zh-CN" w:bidi="ar"/>
                <w14:textFill>
                  <w14:solidFill>
                    <w14:schemeClr w14:val="tx1"/>
                  </w14:solidFill>
                </w14:textFill>
              </w:rPr>
              <w:t xml:space="preserve"> 0554-6656059</w:t>
            </w:r>
            <w:r>
              <w:rPr>
                <w:rFonts w:hint="eastAsia" w:ascii="宋体" w:hAnsi="宋体" w:eastAsia="宋体" w:cs="宋体"/>
                <w:b/>
                <w:bCs/>
                <w:color w:val="000000" w:themeColor="text1"/>
                <w:kern w:val="0"/>
                <w:sz w:val="16"/>
                <w:szCs w:val="16"/>
                <w:lang w:bidi="ar"/>
                <w14:textFill>
                  <w14:solidFill>
                    <w14:schemeClr w14:val="tx1"/>
                  </w14:solidFill>
                </w14:textFill>
              </w:rPr>
              <w:t xml:space="preserve">   填报日期：2019年11月29日</w:t>
            </w:r>
          </w:p>
        </w:tc>
      </w:tr>
      <w:tr>
        <w:tblPrEx>
          <w:tblCellMar>
            <w:top w:w="0" w:type="dxa"/>
            <w:left w:w="0" w:type="dxa"/>
            <w:bottom w:w="0" w:type="dxa"/>
            <w:right w:w="0" w:type="dxa"/>
          </w:tblCellMar>
        </w:tblPrEx>
        <w:trPr>
          <w:trHeight w:val="341" w:hRule="atLeast"/>
          <w:jc w:val="center"/>
        </w:trPr>
        <w:tc>
          <w:tcPr>
            <w:tcW w:w="753" w:type="dxa"/>
            <w:vMerge w:val="restart"/>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类别</w:t>
            </w:r>
          </w:p>
        </w:tc>
        <w:tc>
          <w:tcPr>
            <w:tcW w:w="2631" w:type="dxa"/>
            <w:gridSpan w:val="2"/>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2019年</w:t>
            </w:r>
          </w:p>
        </w:tc>
        <w:tc>
          <w:tcPr>
            <w:tcW w:w="3013" w:type="dxa"/>
            <w:gridSpan w:val="2"/>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2020年</w:t>
            </w:r>
          </w:p>
        </w:tc>
        <w:tc>
          <w:tcPr>
            <w:tcW w:w="2655" w:type="dxa"/>
            <w:gridSpan w:val="2"/>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2021年</w:t>
            </w:r>
          </w:p>
        </w:tc>
        <w:tc>
          <w:tcPr>
            <w:tcW w:w="2852" w:type="dxa"/>
            <w:gridSpan w:val="2"/>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2022年</w:t>
            </w:r>
          </w:p>
        </w:tc>
        <w:tc>
          <w:tcPr>
            <w:tcW w:w="2692" w:type="dxa"/>
            <w:gridSpan w:val="2"/>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2023年</w:t>
            </w:r>
          </w:p>
        </w:tc>
      </w:tr>
      <w:tr>
        <w:tblPrEx>
          <w:tblCellMar>
            <w:top w:w="0" w:type="dxa"/>
            <w:left w:w="0" w:type="dxa"/>
            <w:bottom w:w="0" w:type="dxa"/>
            <w:right w:w="0" w:type="dxa"/>
          </w:tblCellMar>
        </w:tblPrEx>
        <w:trPr>
          <w:trHeight w:val="956" w:hRule="atLeast"/>
          <w:jc w:val="center"/>
        </w:trPr>
        <w:tc>
          <w:tcPr>
            <w:tcW w:w="753"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达标县（市、区）数量</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达标县（市、区）名称</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达标县（市、区）数量</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达标县（市、区）名称</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达标县（市、区）数量</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达标县（市、区）名称</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达标县（市、区）数量</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达标县（市、区）名称</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达标县（市、区）数量</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达标县（市、区）名称</w:t>
            </w:r>
          </w:p>
        </w:tc>
      </w:tr>
      <w:tr>
        <w:tblPrEx>
          <w:tblCellMar>
            <w:top w:w="0" w:type="dxa"/>
            <w:left w:w="0" w:type="dxa"/>
            <w:bottom w:w="0" w:type="dxa"/>
            <w:right w:w="0" w:type="dxa"/>
          </w:tblCellMar>
        </w:tblPrEx>
        <w:trPr>
          <w:trHeight w:val="1798" w:hRule="atLeast"/>
          <w:jc w:val="center"/>
        </w:trPr>
        <w:tc>
          <w:tcPr>
            <w:tcW w:w="753"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基本消除超大班额进度</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10</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寿县、凤台县、田家庵区、潘集区、大通区、谢家集区、八公山区、毛集区、高新区、经开区</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themeColor="text1"/>
                <w:sz w:val="16"/>
                <w:szCs w:val="16"/>
                <w14:textFill>
                  <w14:solidFill>
                    <w14:schemeClr w14:val="tx1"/>
                  </w14:solidFill>
                </w14:textFill>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themeColor="text1"/>
                <w:sz w:val="16"/>
                <w:szCs w:val="16"/>
                <w14:textFill>
                  <w14:solidFill>
                    <w14:schemeClr w14:val="tx1"/>
                  </w14:solidFill>
                </w14:textFill>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w:t>
            </w:r>
          </w:p>
        </w:tc>
      </w:tr>
      <w:tr>
        <w:tblPrEx>
          <w:tblCellMar>
            <w:top w:w="0" w:type="dxa"/>
            <w:left w:w="0" w:type="dxa"/>
            <w:bottom w:w="0" w:type="dxa"/>
            <w:right w:w="0" w:type="dxa"/>
          </w:tblCellMar>
        </w:tblPrEx>
        <w:trPr>
          <w:trHeight w:val="1583" w:hRule="atLeast"/>
          <w:jc w:val="center"/>
        </w:trPr>
        <w:tc>
          <w:tcPr>
            <w:tcW w:w="753" w:type="dxa"/>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基本消除大班额进度</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6</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寿县、潘集区、大通区、毛集区、高新区、经开区</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themeColor="text1"/>
                <w:sz w:val="16"/>
                <w:szCs w:val="16"/>
                <w14:textFill>
                  <w14:solidFill>
                    <w14:schemeClr w14:val="tx1"/>
                  </w14:solidFill>
                </w14:textFill>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themeColor="text1"/>
                <w:sz w:val="16"/>
                <w:szCs w:val="16"/>
                <w14:textFill>
                  <w14:solidFill>
                    <w14:schemeClr w14:val="tx1"/>
                  </w14:solidFill>
                </w14:textFill>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themeColor="text1"/>
                <w:sz w:val="16"/>
                <w:szCs w:val="16"/>
                <w14:textFill>
                  <w14:solidFill>
                    <w14:schemeClr w14:val="tx1"/>
                  </w14:solidFill>
                </w14:textFill>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3</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凤台县、谢家集区、八公山区</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1</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田家庵区</w:t>
            </w:r>
          </w:p>
        </w:tc>
      </w:tr>
      <w:tr>
        <w:tblPrEx>
          <w:tblCellMar>
            <w:top w:w="0" w:type="dxa"/>
            <w:left w:w="0" w:type="dxa"/>
            <w:bottom w:w="0" w:type="dxa"/>
            <w:right w:w="0" w:type="dxa"/>
          </w:tblCellMar>
        </w:tblPrEx>
        <w:trPr>
          <w:trHeight w:val="907" w:hRule="atLeast"/>
          <w:jc w:val="center"/>
        </w:trPr>
        <w:tc>
          <w:tcPr>
            <w:tcW w:w="14596" w:type="dxa"/>
            <w:gridSpan w:val="11"/>
            <w:tcBorders>
              <w:top w:val="single" w:color="000000" w:sz="8" w:space="0"/>
              <w:left w:val="nil"/>
              <w:bottom w:val="nil"/>
              <w:right w:val="nil"/>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16"/>
                <w:szCs w:val="16"/>
                <w:lang w:eastAsia="zh-CN" w:bidi="ar"/>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说明：1.此表由各县（区、市）填写上报市级，市级汇总上报。</w:t>
            </w:r>
          </w:p>
          <w:p>
            <w:pPr>
              <w:widowControl/>
              <w:jc w:val="left"/>
              <w:textAlignment w:val="center"/>
              <w:rPr>
                <w:rFonts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kern w:val="0"/>
                <w:sz w:val="16"/>
                <w:szCs w:val="16"/>
                <w:lang w:bidi="ar"/>
                <w14:textFill>
                  <w14:solidFill>
                    <w14:schemeClr w14:val="tx1"/>
                  </w14:solidFill>
                </w14:textFill>
              </w:rPr>
              <w:t xml:space="preserve">      2.依据各县（市、区）首次达到国家规定工作标准的年份填写，如某县2019年首次达到了基本消除超大班额的标准，则填写在2019年度的相应表格内，其他年度不再重复填写。</w:t>
            </w:r>
          </w:p>
        </w:tc>
      </w:tr>
    </w:tbl>
    <w:p>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default" w:asciiTheme="minorHAnsi" w:hAnsiTheme="minorHAnsi" w:eastAsiaTheme="minorEastAsia" w:cstheme="minorBidi"/>
          <w:kern w:val="2"/>
          <w:sz w:val="21"/>
          <w:szCs w:val="24"/>
          <w:lang w:val="en-US" w:eastAsia="zh-CN" w:bidi="ar-SA"/>
        </w:rPr>
      </w:pPr>
    </w:p>
    <w:sectPr>
      <w:headerReference r:id="rId5" w:type="default"/>
      <w:footerReference r:id="rId6" w:type="default"/>
      <w:pgSz w:w="16838" w:h="11906" w:orient="landscape"/>
      <w:pgMar w:top="1587" w:right="1962" w:bottom="1474" w:left="184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28"/>
      </w:rPr>
    </w:pPr>
    <w:r>
      <w:rPr>
        <w:rFonts w:hint="eastAsia" w:eastAsia="仿宋"/>
        <w:color w:val="FAFAFA"/>
        <w:sz w:val="32"/>
        <w:szCs w:val="48"/>
      </w:rPr>
      <w:t>X</w:t>
    </w:r>
    <w:bookmarkStart w:id="0" w:name="_GoBack"/>
    <w:bookmarkEnd w:id="0"/>
  </w:p>
  <w:p>
    <w:pPr>
      <w:pStyle w:val="5"/>
      <w:wordWrap w:val="0"/>
      <w:ind w:left="4788"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color w:val="FAFAFA"/>
        <w:sz w:val="32"/>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jc w:val="right"/>
      <w:rPr>
        <w:rFonts w:hint="eastAsia" w:ascii="宋体" w:hAnsi="宋体" w:eastAsia="宋体" w:cs="宋体"/>
        <w:b/>
        <w:bCs/>
        <w:color w:val="005192"/>
        <w:sz w:val="28"/>
        <w:szCs w:val="28"/>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77470</wp:posOffset>
              </wp:positionV>
              <wp:extent cx="8220075" cy="3175"/>
              <wp:effectExtent l="0" t="10795" r="9525" b="14605"/>
              <wp:wrapNone/>
              <wp:docPr id="7" name="直接连接符 7"/>
              <wp:cNvGraphicFramePr/>
              <a:graphic xmlns:a="http://schemas.openxmlformats.org/drawingml/2006/main">
                <a:graphicData uri="http://schemas.microsoft.com/office/word/2010/wordprocessingShape">
                  <wps:wsp>
                    <wps:cNvCnPr/>
                    <wps:spPr>
                      <a:xfrm flipV="1">
                        <a:off x="0" y="0"/>
                        <a:ext cx="8220075" cy="317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75pt;margin-top:6.1pt;height:0.25pt;width:647.25pt;z-index:251661312;mso-width-relative:page;mso-height-relative:page;" filled="f" stroked="t" coordsize="21600,21600" o:gfxdata="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Lc1la2QAAAAkBAAAPAAAAAAAAAAEAIAAAACIAAABkcnMvZG93bnJldi54bWxQSwECFAAU&#10;AAAACACHTuJAeonHBfABAAC/AwAADgAAAAAAAAABACAAAAAoAQAAZHJzL2Uyb0RvYy54bWxQSwUG&#10;AAAAAAYABgBZAQAAigUAAAAA&#10;">
              <v:fill on="f" focussize="0,0"/>
              <v:stroke weight="1.75pt" color="#005192 [3204]" miterlimit="8" joinstyle="miter"/>
              <v:imagedata o:title=""/>
              <o:lock v:ext="edit" aspectratio="f"/>
            </v:line>
          </w:pict>
        </mc:Fallback>
      </mc:AlternateContent>
    </w:r>
  </w:p>
  <w:p>
    <w:pPr>
      <w:pStyle w:val="5"/>
      <w:jc w:val="right"/>
      <w:rPr>
        <w:rFonts w:ascii="宋体" w:hAnsi="宋体" w:eastAsia="宋体" w:cs="宋体"/>
        <w:b/>
        <w:bCs/>
        <w:color w:val="005192"/>
        <w:sz w:val="28"/>
        <w:szCs w:val="44"/>
      </w:rPr>
    </w:pPr>
    <w:r>
      <w:rPr>
        <w:rFonts w:hint="eastAsia" w:ascii="宋体" w:hAnsi="宋体" w:eastAsia="宋体" w:cs="宋体"/>
        <w:b/>
        <w:bCs/>
        <w:color w:val="005192"/>
        <w:sz w:val="28"/>
        <w:szCs w:val="28"/>
        <w:lang w:val="en-US" w:eastAsia="zh-CN"/>
      </w:rPr>
      <w:t>淮南市教育体育局发布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321945</wp:posOffset>
              </wp:positionV>
              <wp:extent cx="8272145" cy="0"/>
              <wp:effectExtent l="0" t="10795" r="14605" b="17780"/>
              <wp:wrapNone/>
              <wp:docPr id="1" name="直接连接符 1"/>
              <wp:cNvGraphicFramePr/>
              <a:graphic xmlns:a="http://schemas.openxmlformats.org/drawingml/2006/main">
                <a:graphicData uri="http://schemas.microsoft.com/office/word/2010/wordprocessingShape">
                  <wps:wsp>
                    <wps:cNvCnPr/>
                    <wps:spPr>
                      <a:xfrm>
                        <a:off x="4133850" y="864870"/>
                        <a:ext cx="827214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25.35pt;height:0pt;width:651.35pt;z-index:251660288;mso-width-relative:page;mso-height-relative:page;" filled="f" stroked="t" coordsize="21600,21600" o:gfxdata="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7EQBdQAAAAIAQAADwAAAAAAAAABACAAAAAiAAAAZHJzL2Rvd25yZXYueG1sUEsBAhQAFAAA&#10;AAgAh07iQBMS8lHzAQAAvQMAAA4AAAAAAAAAAQAgAAAAIw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szCs w:val="32"/>
      </w:rPr>
      <w:t>淮南市</w:t>
    </w:r>
    <w:r>
      <w:rPr>
        <w:rFonts w:hint="eastAsia" w:ascii="宋体" w:hAnsi="宋体" w:eastAsia="宋体" w:cs="宋体"/>
        <w:b/>
        <w:bCs/>
        <w:color w:val="005192"/>
        <w:sz w:val="32"/>
        <w:szCs w:val="32"/>
        <w:lang w:val="en-US" w:eastAsia="zh-CN"/>
      </w:rPr>
      <w:t>教育体育局</w:t>
    </w:r>
    <w:r>
      <w:rPr>
        <w:rFonts w:hint="eastAsia" w:ascii="宋体" w:hAnsi="宋体" w:eastAsia="宋体" w:cs="宋体"/>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kZWZmYzUzNTU0YTFiOTZlYTZhNzlmNzU1YjU2ZTIifQ=="/>
  </w:docVars>
  <w:rsids>
    <w:rsidRoot w:val="00172A27"/>
    <w:rsid w:val="00172A27"/>
    <w:rsid w:val="004B796E"/>
    <w:rsid w:val="00A974E7"/>
    <w:rsid w:val="00E17FCD"/>
    <w:rsid w:val="01353714"/>
    <w:rsid w:val="018A1427"/>
    <w:rsid w:val="019E71BD"/>
    <w:rsid w:val="03BE7AB1"/>
    <w:rsid w:val="04B679C3"/>
    <w:rsid w:val="0560645C"/>
    <w:rsid w:val="07051715"/>
    <w:rsid w:val="078869B1"/>
    <w:rsid w:val="080F63D8"/>
    <w:rsid w:val="091004C6"/>
    <w:rsid w:val="09341458"/>
    <w:rsid w:val="09DC68E6"/>
    <w:rsid w:val="0B0912D7"/>
    <w:rsid w:val="0B321ED5"/>
    <w:rsid w:val="0D254B03"/>
    <w:rsid w:val="0E5209BA"/>
    <w:rsid w:val="0EA67BD0"/>
    <w:rsid w:val="0F4B4326"/>
    <w:rsid w:val="10F03EEC"/>
    <w:rsid w:val="127C4B61"/>
    <w:rsid w:val="12A3059B"/>
    <w:rsid w:val="152D2DCA"/>
    <w:rsid w:val="15D94EC8"/>
    <w:rsid w:val="162E0AC3"/>
    <w:rsid w:val="1AD652C7"/>
    <w:rsid w:val="1B1B4F22"/>
    <w:rsid w:val="1B65531B"/>
    <w:rsid w:val="1B8F192E"/>
    <w:rsid w:val="1D512067"/>
    <w:rsid w:val="1D631052"/>
    <w:rsid w:val="1DEC284C"/>
    <w:rsid w:val="1E6523AC"/>
    <w:rsid w:val="1F39607B"/>
    <w:rsid w:val="1F574E9B"/>
    <w:rsid w:val="217A66EA"/>
    <w:rsid w:val="21D7390C"/>
    <w:rsid w:val="21EB27A9"/>
    <w:rsid w:val="22440422"/>
    <w:rsid w:val="23BE0352"/>
    <w:rsid w:val="255A35DF"/>
    <w:rsid w:val="25B1731F"/>
    <w:rsid w:val="26D51A0F"/>
    <w:rsid w:val="27B54BC2"/>
    <w:rsid w:val="27D14F4F"/>
    <w:rsid w:val="28560CD9"/>
    <w:rsid w:val="28E676D0"/>
    <w:rsid w:val="2A8502B9"/>
    <w:rsid w:val="2BDA42D2"/>
    <w:rsid w:val="2C7C6E78"/>
    <w:rsid w:val="2DC40799"/>
    <w:rsid w:val="31162B0E"/>
    <w:rsid w:val="31223EBA"/>
    <w:rsid w:val="31A15F24"/>
    <w:rsid w:val="31F9140C"/>
    <w:rsid w:val="35BA5B62"/>
    <w:rsid w:val="361B5A5A"/>
    <w:rsid w:val="378761DE"/>
    <w:rsid w:val="395347B5"/>
    <w:rsid w:val="39A232A0"/>
    <w:rsid w:val="39D907EC"/>
    <w:rsid w:val="39E745AA"/>
    <w:rsid w:val="3B5A6BBB"/>
    <w:rsid w:val="3BEE1FD7"/>
    <w:rsid w:val="3C5207B8"/>
    <w:rsid w:val="3C756D21"/>
    <w:rsid w:val="3CC50082"/>
    <w:rsid w:val="3D804EB1"/>
    <w:rsid w:val="3DF15488"/>
    <w:rsid w:val="3EDA13A6"/>
    <w:rsid w:val="3F533C17"/>
    <w:rsid w:val="3F867BD9"/>
    <w:rsid w:val="40650E7A"/>
    <w:rsid w:val="41B94AAD"/>
    <w:rsid w:val="426B0C27"/>
    <w:rsid w:val="42F058B7"/>
    <w:rsid w:val="430810B7"/>
    <w:rsid w:val="436109F6"/>
    <w:rsid w:val="43D15E6D"/>
    <w:rsid w:val="43ED1C06"/>
    <w:rsid w:val="441A38D4"/>
    <w:rsid w:val="45CB73E6"/>
    <w:rsid w:val="48763A80"/>
    <w:rsid w:val="493947D2"/>
    <w:rsid w:val="4BC77339"/>
    <w:rsid w:val="4BF21670"/>
    <w:rsid w:val="4C5639AD"/>
    <w:rsid w:val="4C9236C5"/>
    <w:rsid w:val="4D1A70D0"/>
    <w:rsid w:val="4D271663"/>
    <w:rsid w:val="4D7F6F33"/>
    <w:rsid w:val="505C172E"/>
    <w:rsid w:val="51453FF0"/>
    <w:rsid w:val="52F46F0B"/>
    <w:rsid w:val="5377138E"/>
    <w:rsid w:val="53D8014D"/>
    <w:rsid w:val="540D401E"/>
    <w:rsid w:val="551614ED"/>
    <w:rsid w:val="55E064E0"/>
    <w:rsid w:val="572C6D10"/>
    <w:rsid w:val="57C87729"/>
    <w:rsid w:val="58D70D89"/>
    <w:rsid w:val="59EE36A9"/>
    <w:rsid w:val="59F46E55"/>
    <w:rsid w:val="5A6E45B7"/>
    <w:rsid w:val="5A951B44"/>
    <w:rsid w:val="5B820DB9"/>
    <w:rsid w:val="5CA91DFD"/>
    <w:rsid w:val="5DC34279"/>
    <w:rsid w:val="608816D1"/>
    <w:rsid w:val="60EF4E7F"/>
    <w:rsid w:val="62E10FAA"/>
    <w:rsid w:val="63E16007"/>
    <w:rsid w:val="659C3AAC"/>
    <w:rsid w:val="665233C1"/>
    <w:rsid w:val="691B206F"/>
    <w:rsid w:val="696073DC"/>
    <w:rsid w:val="69607FB9"/>
    <w:rsid w:val="6AD9688B"/>
    <w:rsid w:val="6B2216F5"/>
    <w:rsid w:val="6CF03552"/>
    <w:rsid w:val="6D0E3F22"/>
    <w:rsid w:val="6D5C4EAF"/>
    <w:rsid w:val="6E3021CE"/>
    <w:rsid w:val="6F702D04"/>
    <w:rsid w:val="70DE6F0B"/>
    <w:rsid w:val="75C27D0B"/>
    <w:rsid w:val="75FD7E33"/>
    <w:rsid w:val="7BAF13D5"/>
    <w:rsid w:val="7C9011D9"/>
    <w:rsid w:val="7DC651C5"/>
    <w:rsid w:val="7E5977CC"/>
    <w:rsid w:val="7E6E3C2E"/>
    <w:rsid w:val="7F0363AE"/>
    <w:rsid w:val="7FCC2834"/>
    <w:rsid w:val="7FDF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autoRedefine/>
    <w:qFormat/>
    <w:uiPriority w:val="1"/>
    <w:rPr>
      <w:rFonts w:ascii="仿宋" w:hAnsi="仿宋" w:eastAsia="仿宋" w:cs="仿宋"/>
      <w:sz w:val="32"/>
      <w:szCs w:val="32"/>
      <w:lang w:val="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spacing w:beforeAutospacing="1" w:afterAutospacing="1"/>
      <w:jc w:val="left"/>
    </w:pPr>
    <w:rPr>
      <w:rFonts w:cs="Times New Roman"/>
      <w:kern w:val="0"/>
      <w:sz w:val="24"/>
    </w:rPr>
  </w:style>
  <w:style w:type="character" w:styleId="9">
    <w:name w:val="Strong"/>
    <w:basedOn w:val="8"/>
    <w:autoRedefine/>
    <w:qFormat/>
    <w:uiPriority w:val="0"/>
    <w:rPr>
      <w:b/>
      <w:bCs/>
    </w:rPr>
  </w:style>
  <w:style w:type="paragraph" w:customStyle="1" w:styleId="10">
    <w:name w:val="p0"/>
    <w:basedOn w:val="1"/>
    <w:autoRedefine/>
    <w:qFormat/>
    <w:uiPriority w:val="0"/>
    <w:pPr>
      <w:widowControl/>
    </w:pPr>
    <w:rPr>
      <w:rFonts w:ascii="Calibri" w:hAnsi="Calibri" w:eastAsia="宋体" w:cs="宋体"/>
      <w:kern w:val="0"/>
      <w:szCs w:val="32"/>
    </w:rPr>
  </w:style>
  <w:style w:type="paragraph" w:styleId="1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6027</Words>
  <Characters>7843</Characters>
  <Lines>41</Lines>
  <Paragraphs>11</Paragraphs>
  <TotalTime>28</TotalTime>
  <ScaleCrop>false</ScaleCrop>
  <LinksUpToDate>false</LinksUpToDate>
  <CharactersWithSpaces>8085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遇健不散</cp:lastModifiedBy>
  <cp:lastPrinted>2021-10-26T03:30:00Z</cp:lastPrinted>
  <dcterms:modified xsi:type="dcterms:W3CDTF">2024-06-13T07:14:40Z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1FCC61DAF0C04D05B72BA1C58C57CF6C_13</vt:lpwstr>
  </property>
</Properties>
</file>